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AE6CEF" w:rsidRPr="00215F2E" w:rsidTr="00215F2E">
        <w:trPr>
          <w:cantSplit/>
          <w:trHeight w:val="851"/>
        </w:trPr>
        <w:tc>
          <w:tcPr>
            <w:tcW w:w="1259" w:type="dxa"/>
            <w:tcBorders>
              <w:top w:val="nil"/>
              <w:left w:val="nil"/>
              <w:bottom w:val="single" w:sz="4" w:space="0" w:color="auto"/>
              <w:right w:val="nil"/>
            </w:tcBorders>
          </w:tcPr>
          <w:p w:rsidR="00AE6CEF" w:rsidRPr="0072036D" w:rsidRDefault="0072036D" w:rsidP="0072036D">
            <w:pPr>
              <w:tabs>
                <w:tab w:val="right" w:pos="850"/>
                <w:tab w:val="left" w:pos="1134"/>
                <w:tab w:val="right" w:leader="dot" w:pos="8504"/>
              </w:tabs>
              <w:spacing w:line="20" w:lineRule="exact"/>
              <w:jc w:val="center"/>
              <w:rPr>
                <w:rStyle w:val="Emphasis"/>
                <w:sz w:val="2"/>
              </w:rPr>
            </w:pPr>
            <w:r>
              <w:rPr>
                <w:rStyle w:val="CommentReference"/>
              </w:rPr>
              <w:commentReference w:id="0"/>
            </w:r>
          </w:p>
          <w:p w:rsidR="0072036D" w:rsidRPr="00076FB6" w:rsidRDefault="0072036D" w:rsidP="00DA09D9">
            <w:pPr>
              <w:tabs>
                <w:tab w:val="right" w:pos="850"/>
                <w:tab w:val="left" w:pos="1134"/>
                <w:tab w:val="right" w:leader="dot" w:pos="8504"/>
              </w:tabs>
              <w:spacing w:before="360" w:after="240"/>
              <w:jc w:val="center"/>
              <w:rPr>
                <w:rStyle w:val="Emphasis"/>
              </w:rPr>
            </w:pPr>
          </w:p>
        </w:tc>
        <w:tc>
          <w:tcPr>
            <w:tcW w:w="2236" w:type="dxa"/>
            <w:tcBorders>
              <w:top w:val="nil"/>
              <w:left w:val="nil"/>
              <w:bottom w:val="single" w:sz="4" w:space="0" w:color="auto"/>
              <w:right w:val="nil"/>
            </w:tcBorders>
            <w:vAlign w:val="bottom"/>
          </w:tcPr>
          <w:p w:rsidR="00AE6CEF" w:rsidRPr="00215F2E" w:rsidRDefault="00AE6CEF" w:rsidP="00215F2E">
            <w:pPr>
              <w:spacing w:after="80" w:line="300" w:lineRule="exact"/>
              <w:rPr>
                <w:sz w:val="28"/>
                <w:szCs w:val="28"/>
              </w:rPr>
            </w:pPr>
            <w:r w:rsidRPr="00215F2E">
              <w:rPr>
                <w:sz w:val="28"/>
                <w:szCs w:val="28"/>
              </w:rPr>
              <w:t>United Nations</w:t>
            </w:r>
          </w:p>
        </w:tc>
        <w:tc>
          <w:tcPr>
            <w:tcW w:w="6144" w:type="dxa"/>
            <w:gridSpan w:val="2"/>
            <w:tcBorders>
              <w:top w:val="nil"/>
              <w:left w:val="nil"/>
              <w:bottom w:val="single" w:sz="4" w:space="0" w:color="auto"/>
              <w:right w:val="nil"/>
            </w:tcBorders>
            <w:vAlign w:val="bottom"/>
          </w:tcPr>
          <w:p w:rsidR="00AE6CEF" w:rsidRPr="00215F2E" w:rsidRDefault="00925ACE" w:rsidP="00CB660B">
            <w:pPr>
              <w:suppressAutoHyphens w:val="0"/>
              <w:spacing w:after="20"/>
              <w:jc w:val="right"/>
            </w:pPr>
            <w:r w:rsidRPr="00215F2E">
              <w:rPr>
                <w:sz w:val="40"/>
              </w:rPr>
              <w:t>A</w:t>
            </w:r>
            <w:r w:rsidRPr="00215F2E">
              <w:t>/HRC/</w:t>
            </w:r>
            <w:r w:rsidR="001603B4">
              <w:t>30</w:t>
            </w:r>
            <w:r w:rsidRPr="00215F2E">
              <w:t>/</w:t>
            </w:r>
            <w:r w:rsidR="00CB660B">
              <w:t>36</w:t>
            </w:r>
          </w:p>
        </w:tc>
      </w:tr>
      <w:tr w:rsidR="00AE6CEF" w:rsidRPr="00215F2E" w:rsidTr="00215F2E">
        <w:trPr>
          <w:cantSplit/>
          <w:trHeight w:val="2835"/>
        </w:trPr>
        <w:tc>
          <w:tcPr>
            <w:tcW w:w="1259" w:type="dxa"/>
            <w:tcBorders>
              <w:top w:val="single" w:sz="4" w:space="0" w:color="auto"/>
              <w:left w:val="nil"/>
              <w:bottom w:val="single" w:sz="12" w:space="0" w:color="auto"/>
              <w:right w:val="nil"/>
            </w:tcBorders>
          </w:tcPr>
          <w:p w:rsidR="00AE6CEF" w:rsidRPr="00215F2E" w:rsidRDefault="00F8162A" w:rsidP="00215F2E">
            <w:pPr>
              <w:spacing w:before="120"/>
              <w:jc w:val="center"/>
            </w:pPr>
            <w:r>
              <w:rPr>
                <w:noProof/>
                <w:lang w:val="en-US"/>
              </w:rPr>
              <w:drawing>
                <wp:inline distT="0" distB="0" distL="0" distR="0" wp14:anchorId="31055042" wp14:editId="33E4B41E">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AE6CEF" w:rsidRPr="00215F2E" w:rsidRDefault="00AE6CEF" w:rsidP="00215F2E">
            <w:pPr>
              <w:spacing w:before="120" w:line="420" w:lineRule="exact"/>
              <w:rPr>
                <w:b/>
                <w:sz w:val="40"/>
                <w:szCs w:val="40"/>
              </w:rPr>
            </w:pPr>
            <w:r w:rsidRPr="00215F2E">
              <w:rPr>
                <w:b/>
                <w:sz w:val="40"/>
                <w:szCs w:val="40"/>
              </w:rPr>
              <w:t>General Assembly</w:t>
            </w:r>
          </w:p>
        </w:tc>
        <w:tc>
          <w:tcPr>
            <w:tcW w:w="2930" w:type="dxa"/>
            <w:tcBorders>
              <w:top w:val="single" w:sz="4" w:space="0" w:color="auto"/>
              <w:left w:val="nil"/>
              <w:bottom w:val="single" w:sz="12" w:space="0" w:color="auto"/>
              <w:right w:val="nil"/>
            </w:tcBorders>
          </w:tcPr>
          <w:p w:rsidR="00925ACE" w:rsidRPr="00215F2E" w:rsidRDefault="00925ACE" w:rsidP="00215F2E">
            <w:pPr>
              <w:suppressAutoHyphens w:val="0"/>
              <w:spacing w:before="240" w:line="240" w:lineRule="exact"/>
            </w:pPr>
            <w:r w:rsidRPr="00215F2E">
              <w:t>Distr.: General</w:t>
            </w:r>
          </w:p>
          <w:p w:rsidR="00F96881" w:rsidRPr="00FA1E46" w:rsidRDefault="007A389F" w:rsidP="00857F28">
            <w:pPr>
              <w:suppressAutoHyphens w:val="0"/>
            </w:pPr>
            <w:r>
              <w:t>10</w:t>
            </w:r>
            <w:r w:rsidR="00CA70FA">
              <w:t xml:space="preserve"> July</w:t>
            </w:r>
            <w:r w:rsidR="000B4007">
              <w:t xml:space="preserve"> 2015</w:t>
            </w:r>
          </w:p>
          <w:p w:rsidR="0077395E" w:rsidRDefault="0077395E" w:rsidP="00215F2E">
            <w:pPr>
              <w:suppressAutoHyphens w:val="0"/>
              <w:rPr>
                <w:highlight w:val="yellow"/>
              </w:rPr>
            </w:pPr>
          </w:p>
          <w:p w:rsidR="00AE6CEF" w:rsidRPr="00215F2E" w:rsidRDefault="00925ACE" w:rsidP="00110E70">
            <w:pPr>
              <w:suppressAutoHyphens w:val="0"/>
            </w:pPr>
            <w:r w:rsidRPr="00215F2E">
              <w:t>Original: English</w:t>
            </w:r>
          </w:p>
        </w:tc>
      </w:tr>
    </w:tbl>
    <w:p w:rsidR="00215F2E" w:rsidRPr="00215F2E" w:rsidRDefault="00215F2E" w:rsidP="00643630">
      <w:pPr>
        <w:spacing w:before="120"/>
        <w:rPr>
          <w:b/>
        </w:rPr>
      </w:pPr>
      <w:r w:rsidRPr="00215F2E">
        <w:rPr>
          <w:b/>
          <w:sz w:val="24"/>
          <w:szCs w:val="24"/>
        </w:rPr>
        <w:t>Human Rights Council</w:t>
      </w:r>
      <w:r w:rsidR="00643630">
        <w:rPr>
          <w:b/>
          <w:sz w:val="24"/>
          <w:szCs w:val="24"/>
        </w:rPr>
        <w:br/>
      </w:r>
      <w:r w:rsidRPr="00215F2E">
        <w:rPr>
          <w:b/>
        </w:rPr>
        <w:t>T</w:t>
      </w:r>
      <w:r w:rsidR="001603B4">
        <w:rPr>
          <w:b/>
        </w:rPr>
        <w:t>hirtieth</w:t>
      </w:r>
      <w:r w:rsidRPr="00215F2E">
        <w:rPr>
          <w:b/>
        </w:rPr>
        <w:t xml:space="preserve"> session</w:t>
      </w:r>
      <w:r w:rsidR="005165AF">
        <w:rPr>
          <w:b/>
        </w:rPr>
        <w:br/>
      </w:r>
      <w:r w:rsidRPr="00215F2E">
        <w:t>Agenda item 3</w:t>
      </w:r>
      <w:r w:rsidR="005165AF">
        <w:br/>
      </w:r>
      <w:r w:rsidRPr="00215F2E">
        <w:rPr>
          <w:b/>
        </w:rPr>
        <w:t>Promotion and protection of all human rights, civil,</w:t>
      </w:r>
      <w:r w:rsidRPr="00A748B1">
        <w:rPr>
          <w:b/>
          <w:i/>
        </w:rPr>
        <w:br/>
      </w:r>
      <w:r w:rsidRPr="00215F2E">
        <w:rPr>
          <w:b/>
        </w:rPr>
        <w:t>political, economic, social and cultural rights,</w:t>
      </w:r>
      <w:r w:rsidRPr="00215F2E">
        <w:rPr>
          <w:b/>
        </w:rPr>
        <w:br/>
        <w:t>including the right to development</w:t>
      </w:r>
    </w:p>
    <w:p w:rsidR="00215F2E" w:rsidRPr="00215F2E" w:rsidRDefault="00215F2E" w:rsidP="00215F2E">
      <w:pPr>
        <w:pStyle w:val="HChG"/>
      </w:pPr>
      <w:r w:rsidRPr="00215F2E">
        <w:tab/>
      </w:r>
      <w:r w:rsidRPr="00215F2E">
        <w:tab/>
        <w:t>Report of the Working Group on Arbitrary Detention</w:t>
      </w:r>
    </w:p>
    <w:p w:rsidR="00215F2E" w:rsidRPr="0025076E" w:rsidRDefault="00215F2E" w:rsidP="00564594">
      <w:pPr>
        <w:pStyle w:val="SingleTxtG"/>
        <w:spacing w:after="240"/>
        <w:rPr>
          <w:highlight w:val="magenta"/>
        </w:rPr>
      </w:pPr>
      <w:r w:rsidRPr="00215F2E">
        <w:rPr>
          <w:i/>
        </w:rPr>
        <w:t>Chair-Rapporteur</w:t>
      </w:r>
      <w:r w:rsidR="006D03EA" w:rsidRPr="00C5598B">
        <w:t xml:space="preserve">: Mads </w:t>
      </w:r>
      <w:proofErr w:type="spellStart"/>
      <w:r w:rsidR="006D03EA" w:rsidRPr="00C5598B">
        <w:t>Andenas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215F2E" w:rsidRPr="006A5ACA" w:rsidTr="00C0391A">
        <w:trPr>
          <w:cantSplit/>
          <w:jc w:val="center"/>
        </w:trPr>
        <w:tc>
          <w:tcPr>
            <w:tcW w:w="9637" w:type="dxa"/>
            <w:tcBorders>
              <w:bottom w:val="nil"/>
            </w:tcBorders>
            <w:shd w:val="clear" w:color="auto" w:fill="auto"/>
          </w:tcPr>
          <w:p w:rsidR="00215F2E" w:rsidRPr="006A5ACA" w:rsidRDefault="00215F2E" w:rsidP="00C0391A">
            <w:pPr>
              <w:tabs>
                <w:tab w:val="left" w:pos="255"/>
              </w:tabs>
              <w:suppressAutoHyphens w:val="0"/>
              <w:spacing w:before="240" w:after="120"/>
              <w:rPr>
                <w:sz w:val="24"/>
                <w:szCs w:val="24"/>
              </w:rPr>
            </w:pPr>
            <w:r w:rsidRPr="00F32C31">
              <w:rPr>
                <w:color w:val="FF0000"/>
                <w:sz w:val="24"/>
                <w:szCs w:val="24"/>
              </w:rPr>
              <w:tab/>
            </w:r>
            <w:r w:rsidRPr="006A5ACA">
              <w:rPr>
                <w:i/>
                <w:sz w:val="24"/>
                <w:szCs w:val="24"/>
              </w:rPr>
              <w:t>Summary</w:t>
            </w:r>
          </w:p>
        </w:tc>
      </w:tr>
      <w:tr w:rsidR="00215F2E" w:rsidRPr="006A5ACA" w:rsidTr="00C0391A">
        <w:trPr>
          <w:cantSplit/>
          <w:jc w:val="center"/>
        </w:trPr>
        <w:tc>
          <w:tcPr>
            <w:tcW w:w="9637" w:type="dxa"/>
            <w:tcBorders>
              <w:top w:val="nil"/>
              <w:bottom w:val="nil"/>
            </w:tcBorders>
            <w:shd w:val="clear" w:color="auto" w:fill="auto"/>
          </w:tcPr>
          <w:p w:rsidR="00215F2E" w:rsidRPr="006A5ACA" w:rsidRDefault="00215F2E" w:rsidP="00275393">
            <w:pPr>
              <w:pStyle w:val="SingleTxtG"/>
            </w:pPr>
            <w:r w:rsidRPr="006A5ACA">
              <w:rPr>
                <w:color w:val="FF0000"/>
              </w:rPr>
              <w:tab/>
            </w:r>
            <w:r w:rsidR="00B1624D">
              <w:t>In</w:t>
            </w:r>
            <w:r w:rsidR="00B1624D" w:rsidRPr="006A5ACA">
              <w:t xml:space="preserve"> </w:t>
            </w:r>
            <w:r w:rsidRPr="006A5ACA">
              <w:t>201</w:t>
            </w:r>
            <w:r w:rsidR="00313777" w:rsidRPr="006A5ACA">
              <w:t>4</w:t>
            </w:r>
            <w:r w:rsidRPr="006A5ACA">
              <w:t xml:space="preserve"> the Working Group on Arbitrary Detention</w:t>
            </w:r>
            <w:r w:rsidR="00B565B1">
              <w:t>,</w:t>
            </w:r>
            <w:r w:rsidRPr="006A5ACA">
              <w:t xml:space="preserve"> under its regular procedure, </w:t>
            </w:r>
            <w:r w:rsidR="00B565B1" w:rsidRPr="00B565B1">
              <w:t>adopted</w:t>
            </w:r>
            <w:r w:rsidR="00B565B1">
              <w:t xml:space="preserve"> </w:t>
            </w:r>
            <w:r w:rsidR="00F32C31" w:rsidRPr="006A5ACA">
              <w:t>57</w:t>
            </w:r>
            <w:r w:rsidRPr="006A5ACA">
              <w:t xml:space="preserve"> opinions concerning the detention of</w:t>
            </w:r>
            <w:r w:rsidR="005B7E34" w:rsidRPr="006A5ACA">
              <w:t xml:space="preserve"> 422 </w:t>
            </w:r>
            <w:r w:rsidRPr="006A5ACA">
              <w:t xml:space="preserve">persons in </w:t>
            </w:r>
            <w:r w:rsidR="00187E27" w:rsidRPr="006A5ACA">
              <w:t>3</w:t>
            </w:r>
            <w:r w:rsidR="005B7E34" w:rsidRPr="006A5ACA">
              <w:t>0</w:t>
            </w:r>
            <w:r w:rsidRPr="006A5ACA">
              <w:t xml:space="preserve"> countries. It also transmitted </w:t>
            </w:r>
            <w:r w:rsidR="005B7E34" w:rsidRPr="00503791">
              <w:t>13</w:t>
            </w:r>
            <w:r w:rsidR="00503791" w:rsidRPr="004141C1">
              <w:t>6</w:t>
            </w:r>
            <w:r w:rsidRPr="006A5ACA">
              <w:t xml:space="preserve"> urgent appeals to </w:t>
            </w:r>
            <w:r w:rsidR="005B7E34" w:rsidRPr="006A5ACA">
              <w:t>48</w:t>
            </w:r>
            <w:r w:rsidRPr="006A5ACA">
              <w:t xml:space="preserve"> </w:t>
            </w:r>
            <w:r w:rsidR="00E96CE5">
              <w:t>Governments</w:t>
            </w:r>
            <w:r w:rsidR="00E96CE5" w:rsidRPr="006A5ACA">
              <w:t xml:space="preserve"> </w:t>
            </w:r>
            <w:r w:rsidRPr="006A5ACA">
              <w:t xml:space="preserve">concerning </w:t>
            </w:r>
            <w:r w:rsidR="005B7E34" w:rsidRPr="006A5ACA">
              <w:t>435</w:t>
            </w:r>
            <w:r w:rsidRPr="006A5ACA">
              <w:t xml:space="preserve"> individuals</w:t>
            </w:r>
            <w:r w:rsidR="006D03EA" w:rsidRPr="006A5ACA">
              <w:t xml:space="preserve">. </w:t>
            </w:r>
            <w:r w:rsidRPr="006A5ACA">
              <w:t>States informed the Working Group that they had taken measures to remedy the situation of detainees</w:t>
            </w:r>
            <w:r w:rsidR="00CB660B">
              <w:t>. I</w:t>
            </w:r>
            <w:r w:rsidRPr="006A5ACA">
              <w:t xml:space="preserve">n some cases, detainees were released; in other cases, the Working Group was assured that the detainees concerned would be guaranteed a fair trial. The Working Group is grateful to those Governments that heeded its appeals and </w:t>
            </w:r>
            <w:r w:rsidR="00B1624D">
              <w:t xml:space="preserve">that </w:t>
            </w:r>
            <w:r w:rsidRPr="006A5ACA">
              <w:t xml:space="preserve">took steps to provide it with the requested information on the situation of detainees. </w:t>
            </w:r>
          </w:p>
        </w:tc>
      </w:tr>
      <w:tr w:rsidR="00CB660B" w:rsidRPr="006A5ACA" w:rsidTr="00C0391A">
        <w:trPr>
          <w:cantSplit/>
          <w:jc w:val="center"/>
        </w:trPr>
        <w:tc>
          <w:tcPr>
            <w:tcW w:w="9637" w:type="dxa"/>
            <w:tcBorders>
              <w:top w:val="nil"/>
              <w:bottom w:val="nil"/>
            </w:tcBorders>
            <w:shd w:val="clear" w:color="auto" w:fill="auto"/>
          </w:tcPr>
          <w:p w:rsidR="00CB660B" w:rsidRPr="00CB660B" w:rsidRDefault="00CB660B" w:rsidP="00B1624D">
            <w:pPr>
              <w:pStyle w:val="SingleTxtG"/>
            </w:pPr>
            <w:r>
              <w:tab/>
            </w:r>
            <w:r w:rsidRPr="00CB660B">
              <w:t>The Working Group engaged in continuous dialogue with countries that it visited</w:t>
            </w:r>
            <w:r w:rsidR="00C357D2">
              <w:t>, in</w:t>
            </w:r>
            <w:r w:rsidRPr="00CB660B">
              <w:t xml:space="preserve"> particular </w:t>
            </w:r>
            <w:r w:rsidR="00C357D2">
              <w:t>in respect of</w:t>
            </w:r>
            <w:r w:rsidR="00C357D2" w:rsidRPr="00CB660B">
              <w:t xml:space="preserve"> </w:t>
            </w:r>
            <w:r w:rsidRPr="00CB660B">
              <w:t xml:space="preserve">its recommendations. Information </w:t>
            </w:r>
            <w:r w:rsidR="00B1624D">
              <w:t>on</w:t>
            </w:r>
            <w:r w:rsidR="00B1624D" w:rsidRPr="00CB660B">
              <w:t xml:space="preserve"> </w:t>
            </w:r>
            <w:r w:rsidRPr="00CB660B">
              <w:t>the implementation of recommendations made by the Working Group was received from the Government of</w:t>
            </w:r>
            <w:r w:rsidR="00AF21EC">
              <w:t xml:space="preserve"> El</w:t>
            </w:r>
            <w:r w:rsidR="003A3181">
              <w:t> </w:t>
            </w:r>
            <w:r w:rsidR="00AF21EC">
              <w:t>Salvador</w:t>
            </w:r>
            <w:r w:rsidRPr="00CB660B">
              <w:t xml:space="preserve">. </w:t>
            </w:r>
            <w:r w:rsidR="00B1624D">
              <w:t>In</w:t>
            </w:r>
            <w:r w:rsidR="00B1624D" w:rsidRPr="00CB660B">
              <w:t xml:space="preserve"> </w:t>
            </w:r>
            <w:r w:rsidRPr="00CB660B">
              <w:t xml:space="preserve">2014, the Working Group visited New Zealand and </w:t>
            </w:r>
            <w:r w:rsidR="00C357D2">
              <w:t>undertook</w:t>
            </w:r>
            <w:r w:rsidR="00C357D2" w:rsidRPr="00CB660B">
              <w:t xml:space="preserve"> </w:t>
            </w:r>
            <w:r w:rsidRPr="00CB660B">
              <w:t xml:space="preserve">follow-up visits to </w:t>
            </w:r>
            <w:r w:rsidRPr="00B44FBA">
              <w:t>Germany and Italy.</w:t>
            </w:r>
            <w:r w:rsidR="00CE0EF5" w:rsidRPr="00B44FBA">
              <w:t xml:space="preserve"> </w:t>
            </w:r>
            <w:r w:rsidRPr="00B44FBA">
              <w:t>The reports on these visits are contained in addenda to the present report</w:t>
            </w:r>
            <w:r w:rsidR="00C357D2" w:rsidRPr="00B44FBA">
              <w:t xml:space="preserve"> (A/HRC/30/36/Add.2, 4 and 3, </w:t>
            </w:r>
            <w:r w:rsidR="00C357D2" w:rsidRPr="00E05411">
              <w:t>respectively)</w:t>
            </w:r>
            <w:r w:rsidRPr="00E05411">
              <w:t>.</w:t>
            </w:r>
          </w:p>
        </w:tc>
      </w:tr>
      <w:tr w:rsidR="00215F2E" w:rsidRPr="006A5ACA" w:rsidTr="00C0391A">
        <w:trPr>
          <w:cantSplit/>
          <w:jc w:val="center"/>
        </w:trPr>
        <w:tc>
          <w:tcPr>
            <w:tcW w:w="9637" w:type="dxa"/>
            <w:tcBorders>
              <w:top w:val="nil"/>
              <w:bottom w:val="nil"/>
            </w:tcBorders>
            <w:shd w:val="clear" w:color="auto" w:fill="auto"/>
          </w:tcPr>
          <w:p w:rsidR="00215F2E" w:rsidRPr="006A5ACA" w:rsidRDefault="00215F2E" w:rsidP="00B1624D">
            <w:pPr>
              <w:pStyle w:val="SingleTxtG"/>
            </w:pPr>
            <w:r w:rsidRPr="006A5ACA">
              <w:tab/>
            </w:r>
            <w:r w:rsidR="00F62B44" w:rsidRPr="006A5ACA">
              <w:t>Pursuant to</w:t>
            </w:r>
            <w:r w:rsidRPr="006A5ACA">
              <w:t xml:space="preserve"> </w:t>
            </w:r>
            <w:r w:rsidR="00C357D2">
              <w:t xml:space="preserve">Human Rights </w:t>
            </w:r>
            <w:r w:rsidRPr="006A5ACA">
              <w:t xml:space="preserve">Council resolution 20/16, the Working Group </w:t>
            </w:r>
            <w:r w:rsidR="00F32C31" w:rsidRPr="006A5ACA">
              <w:t>is</w:t>
            </w:r>
            <w:r w:rsidR="00C65630">
              <w:t xml:space="preserve"> also</w:t>
            </w:r>
            <w:r w:rsidR="00F32C31" w:rsidRPr="006A5ACA">
              <w:t xml:space="preserve"> submitting to the Council a report </w:t>
            </w:r>
            <w:r w:rsidR="00C65630">
              <w:t xml:space="preserve">containing </w:t>
            </w:r>
            <w:r w:rsidR="009C7868" w:rsidRPr="006A5ACA">
              <w:t>the</w:t>
            </w:r>
            <w:r w:rsidR="006D03EA" w:rsidRPr="006A5ACA">
              <w:t xml:space="preserve"> draft </w:t>
            </w:r>
            <w:r w:rsidRPr="006A5ACA">
              <w:t>basic principles and guidelines on remedies and procedures on the right of anyone deprived of his or her liberty by arrest or detention to bring proceedings before court</w:t>
            </w:r>
            <w:r w:rsidR="00C65630">
              <w:t xml:space="preserve"> </w:t>
            </w:r>
            <w:r w:rsidR="00C65630" w:rsidRPr="00C65630">
              <w:t>(A/HRC/30/37)</w:t>
            </w:r>
            <w:r w:rsidR="005825AC">
              <w:t xml:space="preserve">, which </w:t>
            </w:r>
            <w:r w:rsidR="00F32C31" w:rsidRPr="006A5ACA">
              <w:t xml:space="preserve">were </w:t>
            </w:r>
            <w:r w:rsidR="00F32C31" w:rsidRPr="00B44FBA">
              <w:t>adopted</w:t>
            </w:r>
            <w:r w:rsidR="00F32C31" w:rsidRPr="006A5ACA">
              <w:t xml:space="preserve"> by the Working Group at its </w:t>
            </w:r>
            <w:r w:rsidR="005825AC">
              <w:t>seventy-second</w:t>
            </w:r>
            <w:r w:rsidR="005825AC" w:rsidRPr="006A5ACA">
              <w:t xml:space="preserve"> </w:t>
            </w:r>
            <w:r w:rsidR="00F32C31" w:rsidRPr="006A5ACA">
              <w:t xml:space="preserve">session. </w:t>
            </w:r>
            <w:r w:rsidR="005825AC">
              <w:t>The draft basic principles and guidelines are</w:t>
            </w:r>
            <w:r w:rsidR="005825AC" w:rsidRPr="006A5ACA">
              <w:t xml:space="preserve"> </w:t>
            </w:r>
            <w:r w:rsidRPr="006A5ACA">
              <w:t>aim</w:t>
            </w:r>
            <w:r w:rsidR="005825AC">
              <w:t>ed</w:t>
            </w:r>
            <w:r w:rsidRPr="006A5ACA">
              <w:t xml:space="preserve"> at assisting Member States in fulfilling their obligation to avoid arbitrary deprivation of liberty. </w:t>
            </w:r>
            <w:r w:rsidR="00F62B44" w:rsidRPr="00EA24FF">
              <w:t xml:space="preserve">The Working Group </w:t>
            </w:r>
            <w:r w:rsidR="00F32C31" w:rsidRPr="00EA24FF">
              <w:t xml:space="preserve">also </w:t>
            </w:r>
            <w:r w:rsidR="00F62B44" w:rsidRPr="00EA24FF">
              <w:t xml:space="preserve">prepared a report on national, regional and international laws, regulations and practices on the right to </w:t>
            </w:r>
            <w:r w:rsidR="00256C8D" w:rsidRPr="00EA24FF">
              <w:t xml:space="preserve">challenge the lawfulness of detention before </w:t>
            </w:r>
            <w:r w:rsidR="00F62B44" w:rsidRPr="00EA24FF">
              <w:t>court</w:t>
            </w:r>
            <w:r w:rsidR="00E372F2" w:rsidRPr="00EA24FF">
              <w:t xml:space="preserve"> (A/HRC/27/47)</w:t>
            </w:r>
            <w:r w:rsidR="00BA6C66" w:rsidRPr="00EA24FF">
              <w:t>.</w:t>
            </w:r>
            <w:r w:rsidR="00F62B44" w:rsidRPr="006A5ACA">
              <w:t xml:space="preserve"> </w:t>
            </w:r>
          </w:p>
        </w:tc>
      </w:tr>
      <w:tr w:rsidR="00AF21EC" w:rsidRPr="006A5ACA" w:rsidTr="00C0391A">
        <w:trPr>
          <w:cantSplit/>
          <w:jc w:val="center"/>
        </w:trPr>
        <w:tc>
          <w:tcPr>
            <w:tcW w:w="9637" w:type="dxa"/>
            <w:tcBorders>
              <w:top w:val="nil"/>
              <w:bottom w:val="nil"/>
            </w:tcBorders>
            <w:shd w:val="clear" w:color="auto" w:fill="auto"/>
          </w:tcPr>
          <w:p w:rsidR="00AF21EC" w:rsidRPr="006A5ACA" w:rsidRDefault="00F03278" w:rsidP="00503791">
            <w:pPr>
              <w:pStyle w:val="SingleTxtG"/>
            </w:pPr>
            <w:r>
              <w:lastRenderedPageBreak/>
              <w:tab/>
            </w:r>
            <w:r w:rsidR="005825AC">
              <w:t>In t</w:t>
            </w:r>
            <w:r w:rsidR="00AF21EC">
              <w:t xml:space="preserve">he </w:t>
            </w:r>
            <w:r w:rsidR="005825AC">
              <w:t xml:space="preserve">present </w:t>
            </w:r>
            <w:r w:rsidR="00AF21EC">
              <w:t>report</w:t>
            </w:r>
            <w:r w:rsidR="005825AC">
              <w:t>, the Working Group</w:t>
            </w:r>
            <w:r w:rsidR="00AF21EC">
              <w:t xml:space="preserve"> analyses </w:t>
            </w:r>
            <w:r w:rsidR="00BA718E">
              <w:t xml:space="preserve">issues relating to </w:t>
            </w:r>
            <w:r w:rsidR="00AF21EC">
              <w:t>detention in the context of drug control</w:t>
            </w:r>
            <w:r w:rsidR="00BA718E">
              <w:t xml:space="preserve"> and</w:t>
            </w:r>
            <w:r w:rsidR="00CE0EF5">
              <w:t xml:space="preserve"> </w:t>
            </w:r>
            <w:r w:rsidR="00BA718E">
              <w:t xml:space="preserve">to </w:t>
            </w:r>
            <w:r w:rsidR="00AF21EC">
              <w:t>peaceful protests and arbitrary detention</w:t>
            </w:r>
            <w:r w:rsidR="00BA718E">
              <w:t>,</w:t>
            </w:r>
            <w:r w:rsidR="00AF21EC">
              <w:t xml:space="preserve"> and </w:t>
            </w:r>
            <w:r w:rsidR="00EA24FF">
              <w:t>emphasizes</w:t>
            </w:r>
            <w:r w:rsidR="00AF21EC">
              <w:t xml:space="preserve"> the need </w:t>
            </w:r>
            <w:r w:rsidR="00AF21EC" w:rsidRPr="00503791">
              <w:t>of</w:t>
            </w:r>
            <w:r w:rsidR="00AF21EC">
              <w:t xml:space="preserve"> remedies for arbitrary detention as an imperative norm of international human right</w:t>
            </w:r>
            <w:r w:rsidR="00EA24FF">
              <w:t>s</w:t>
            </w:r>
            <w:r w:rsidR="00AF21EC">
              <w:t xml:space="preserve"> law.</w:t>
            </w:r>
            <w:r w:rsidR="00CE0EF5">
              <w:t xml:space="preserve"> </w:t>
            </w:r>
            <w:r w:rsidR="00AF21EC" w:rsidRPr="00A746FF">
              <w:t xml:space="preserve">In most cases, </w:t>
            </w:r>
            <w:r w:rsidR="00BA718E" w:rsidRPr="00A746FF">
              <w:t>including</w:t>
            </w:r>
            <w:r w:rsidR="00AF21EC" w:rsidRPr="00A746FF">
              <w:t xml:space="preserve"> where release is not a remedy, the individual</w:t>
            </w:r>
            <w:r w:rsidR="00CE0EF5" w:rsidRPr="00A746FF">
              <w:t xml:space="preserve"> </w:t>
            </w:r>
            <w:r w:rsidR="00AF21EC" w:rsidRPr="00A746FF">
              <w:t>has a right</w:t>
            </w:r>
            <w:r w:rsidR="00CE0EF5" w:rsidRPr="00A746FF">
              <w:t xml:space="preserve"> </w:t>
            </w:r>
            <w:r w:rsidR="00AF21EC" w:rsidRPr="00A746FF">
              <w:t>to compensation</w:t>
            </w:r>
            <w:r w:rsidR="00AF21EC">
              <w:t>.</w:t>
            </w:r>
            <w:r w:rsidR="00CE0EF5">
              <w:t xml:space="preserve"> </w:t>
            </w:r>
            <w:r w:rsidR="00AF21EC">
              <w:t xml:space="preserve">Domestic law cannot </w:t>
            </w:r>
            <w:r w:rsidR="000D3FC9">
              <w:t>erect</w:t>
            </w:r>
            <w:r w:rsidR="00AF21EC">
              <w:t xml:space="preserve"> barriers that would limit this right </w:t>
            </w:r>
            <w:r w:rsidR="00AF21EC" w:rsidRPr="00A746FF">
              <w:t>in the form of</w:t>
            </w:r>
            <w:r w:rsidR="00AF21EC">
              <w:t xml:space="preserve"> immunities</w:t>
            </w:r>
            <w:r w:rsidR="00BA718E">
              <w:t>,</w:t>
            </w:r>
            <w:r w:rsidR="00AF21EC">
              <w:t xml:space="preserve"> jurisdictional limitation</w:t>
            </w:r>
            <w:r w:rsidR="00BA718E">
              <w:t>,</w:t>
            </w:r>
            <w:r w:rsidR="00AF21EC">
              <w:t xml:space="preserve"> procedural hurdles or defences based on </w:t>
            </w:r>
            <w:r w:rsidR="00B1624D">
              <w:t>an</w:t>
            </w:r>
            <w:r w:rsidR="00A746FF">
              <w:t xml:space="preserve"> A</w:t>
            </w:r>
            <w:r w:rsidR="00AF21EC" w:rsidRPr="00A746FF">
              <w:t xml:space="preserve">ct of </w:t>
            </w:r>
            <w:r w:rsidR="00A746FF">
              <w:t>S</w:t>
            </w:r>
            <w:r w:rsidR="00AF21EC" w:rsidRPr="00A746FF">
              <w:t>tate doctrine.</w:t>
            </w:r>
            <w:r w:rsidR="00CE0EF5">
              <w:t xml:space="preserve"> </w:t>
            </w:r>
          </w:p>
        </w:tc>
      </w:tr>
      <w:tr w:rsidR="00215F2E" w:rsidRPr="00772CC8" w:rsidTr="00F32C31">
        <w:trPr>
          <w:cantSplit/>
          <w:trHeight w:val="68"/>
          <w:jc w:val="center"/>
        </w:trPr>
        <w:tc>
          <w:tcPr>
            <w:tcW w:w="9637" w:type="dxa"/>
            <w:tcBorders>
              <w:top w:val="nil"/>
              <w:bottom w:val="nil"/>
            </w:tcBorders>
            <w:shd w:val="clear" w:color="auto" w:fill="auto"/>
          </w:tcPr>
          <w:p w:rsidR="00215F2E" w:rsidRPr="008030CC" w:rsidRDefault="00215F2E" w:rsidP="00A746FF">
            <w:pPr>
              <w:pStyle w:val="SingleTxtG"/>
            </w:pPr>
            <w:r w:rsidRPr="006A5ACA">
              <w:tab/>
              <w:t>In its recommendations the Working Group requests States to enforce the protection of every person’s right to liberty under customary international law</w:t>
            </w:r>
            <w:r w:rsidR="00A746FF">
              <w:t xml:space="preserve"> and</w:t>
            </w:r>
            <w:r w:rsidRPr="006A5ACA">
              <w:t xml:space="preserve"> </w:t>
            </w:r>
            <w:r w:rsidR="00BA718E">
              <w:t xml:space="preserve">to </w:t>
            </w:r>
            <w:r w:rsidRPr="006A5ACA">
              <w:t xml:space="preserve">ensure that the available guarantees and safeguards are extended to </w:t>
            </w:r>
            <w:r w:rsidR="00A746FF">
              <w:t xml:space="preserve">cover </w:t>
            </w:r>
            <w:r w:rsidRPr="006A5ACA">
              <w:t>all forms of deprivation of liberty</w:t>
            </w:r>
            <w:r w:rsidR="00F07D01">
              <w:t>,</w:t>
            </w:r>
            <w:r w:rsidRPr="006A5ACA">
              <w:t xml:space="preserve"> that persons are not held in </w:t>
            </w:r>
            <w:proofErr w:type="spellStart"/>
            <w:r w:rsidRPr="006A5ACA">
              <w:t>pretrial</w:t>
            </w:r>
            <w:proofErr w:type="spellEnd"/>
            <w:r w:rsidRPr="006A5ACA">
              <w:t xml:space="preserve"> detention for periods longer than those prescribed by law</w:t>
            </w:r>
            <w:r w:rsidR="00011FA2" w:rsidRPr="006A5ACA">
              <w:t>,</w:t>
            </w:r>
            <w:r w:rsidRPr="006A5ACA">
              <w:t xml:space="preserve"> </w:t>
            </w:r>
            <w:r w:rsidR="00BA718E">
              <w:t>and</w:t>
            </w:r>
            <w:r w:rsidRPr="006A5ACA">
              <w:t xml:space="preserve"> that </w:t>
            </w:r>
            <w:r w:rsidRPr="00A746FF">
              <w:t>such persons</w:t>
            </w:r>
            <w:r w:rsidRPr="006A5ACA">
              <w:t xml:space="preserve"> are promptly brought before a judge.</w:t>
            </w:r>
          </w:p>
        </w:tc>
      </w:tr>
      <w:tr w:rsidR="007D45DF" w:rsidRPr="00772CC8" w:rsidTr="00F32C31">
        <w:trPr>
          <w:cantSplit/>
          <w:trHeight w:val="68"/>
          <w:jc w:val="center"/>
        </w:trPr>
        <w:tc>
          <w:tcPr>
            <w:tcW w:w="9637" w:type="dxa"/>
            <w:tcBorders>
              <w:top w:val="nil"/>
              <w:bottom w:val="nil"/>
            </w:tcBorders>
            <w:shd w:val="clear" w:color="auto" w:fill="auto"/>
          </w:tcPr>
          <w:p w:rsidR="007D45DF" w:rsidRPr="006A5ACA" w:rsidRDefault="005F07D6" w:rsidP="00CC6C28">
            <w:pPr>
              <w:pStyle w:val="SingleTxtG"/>
            </w:pPr>
            <w:r>
              <w:tab/>
            </w:r>
            <w:r w:rsidR="007D45DF">
              <w:t xml:space="preserve">The Working Group recommends </w:t>
            </w:r>
            <w:r w:rsidR="00D35AD0">
              <w:t xml:space="preserve">that </w:t>
            </w:r>
            <w:r w:rsidR="007D45DF">
              <w:t xml:space="preserve">the Human Rights Council change the title of the Working Group </w:t>
            </w:r>
            <w:r w:rsidR="00D35AD0">
              <w:t xml:space="preserve">to </w:t>
            </w:r>
            <w:r w:rsidR="006A4906">
              <w:t xml:space="preserve">the </w:t>
            </w:r>
            <w:r w:rsidR="007D45DF">
              <w:t xml:space="preserve">Working Group </w:t>
            </w:r>
            <w:r w:rsidR="007D45DF" w:rsidRPr="00A746FF">
              <w:t>on Arbitrary</w:t>
            </w:r>
            <w:r w:rsidR="007D45DF">
              <w:t xml:space="preserve"> Deprivation of Liberty and</w:t>
            </w:r>
            <w:r w:rsidR="00A746FF">
              <w:t xml:space="preserve"> that it</w:t>
            </w:r>
            <w:r w:rsidR="007D45DF">
              <w:t xml:space="preserve"> request the </w:t>
            </w:r>
            <w:r w:rsidR="00D35AD0">
              <w:t xml:space="preserve">Working </w:t>
            </w:r>
            <w:r w:rsidR="007D45DF">
              <w:t>Group to prepare an in</w:t>
            </w:r>
            <w:r w:rsidR="00D35AD0">
              <w:t>-</w:t>
            </w:r>
            <w:r w:rsidR="007D45DF">
              <w:t xml:space="preserve">depth analysis of detention </w:t>
            </w:r>
            <w:r w:rsidR="00CC6C28">
              <w:t>as a consequence of</w:t>
            </w:r>
            <w:r w:rsidR="007D45DF">
              <w:t xml:space="preserve"> international and </w:t>
            </w:r>
            <w:r>
              <w:t>n</w:t>
            </w:r>
            <w:r w:rsidR="007D45DF">
              <w:t xml:space="preserve">ational drug policies </w:t>
            </w:r>
            <w:r w:rsidR="007D45DF" w:rsidRPr="007A5B37">
              <w:t>during 2016</w:t>
            </w:r>
            <w:r w:rsidR="007D45DF">
              <w:t xml:space="preserve"> </w:t>
            </w:r>
            <w:r w:rsidR="00D35AD0">
              <w:t>and</w:t>
            </w:r>
            <w:r w:rsidR="007D45DF">
              <w:t xml:space="preserve"> a report on the principles of </w:t>
            </w:r>
            <w:r w:rsidR="007D45DF" w:rsidRPr="007A5B37">
              <w:t>legality</w:t>
            </w:r>
            <w:r w:rsidR="007A5B37">
              <w:t>,</w:t>
            </w:r>
            <w:r w:rsidR="007D45DF" w:rsidRPr="007A5B37">
              <w:t xml:space="preserve"> prop</w:t>
            </w:r>
            <w:r w:rsidRPr="007A5B37">
              <w:t>ortionality</w:t>
            </w:r>
            <w:r>
              <w:t>,</w:t>
            </w:r>
            <w:r w:rsidR="007D45DF">
              <w:t xml:space="preserve"> necessit</w:t>
            </w:r>
            <w:r>
              <w:t xml:space="preserve">y </w:t>
            </w:r>
            <w:r w:rsidR="007D45DF">
              <w:t>and appropriateness applicable to avoid arbitrary detention, during 2017.</w:t>
            </w:r>
          </w:p>
        </w:tc>
      </w:tr>
      <w:tr w:rsidR="00215F2E" w:rsidRPr="00772CC8" w:rsidTr="00C0391A">
        <w:trPr>
          <w:cantSplit/>
          <w:jc w:val="center"/>
        </w:trPr>
        <w:tc>
          <w:tcPr>
            <w:tcW w:w="9637" w:type="dxa"/>
            <w:tcBorders>
              <w:top w:val="nil"/>
            </w:tcBorders>
            <w:shd w:val="clear" w:color="auto" w:fill="auto"/>
          </w:tcPr>
          <w:p w:rsidR="00215F2E" w:rsidRPr="006A5ACA" w:rsidRDefault="00215F2E" w:rsidP="00C0391A">
            <w:pPr>
              <w:suppressAutoHyphens w:val="0"/>
            </w:pPr>
          </w:p>
        </w:tc>
      </w:tr>
    </w:tbl>
    <w:p w:rsidR="008030CC" w:rsidRPr="004141C1" w:rsidRDefault="00215F2E" w:rsidP="008030CC">
      <w:pPr>
        <w:spacing w:after="120"/>
        <w:rPr>
          <w:sz w:val="28"/>
          <w:lang w:val="en-US"/>
        </w:rPr>
      </w:pPr>
      <w:r w:rsidRPr="004141C1">
        <w:rPr>
          <w:color w:val="FF0000"/>
          <w:lang w:val="en-US"/>
        </w:rPr>
        <w:br w:type="page"/>
      </w:r>
      <w:r w:rsidR="008030CC" w:rsidRPr="004141C1">
        <w:rPr>
          <w:sz w:val="28"/>
          <w:lang w:val="en-US"/>
        </w:rPr>
        <w:lastRenderedPageBreak/>
        <w:t>Contents</w:t>
      </w:r>
    </w:p>
    <w:p w:rsidR="008030CC" w:rsidRPr="004141C1" w:rsidRDefault="008030CC" w:rsidP="008030CC">
      <w:pPr>
        <w:tabs>
          <w:tab w:val="right" w:pos="8929"/>
          <w:tab w:val="right" w:pos="9638"/>
        </w:tabs>
        <w:spacing w:after="120"/>
        <w:ind w:left="283"/>
        <w:rPr>
          <w:lang w:val="en-US"/>
        </w:rPr>
      </w:pPr>
      <w:r w:rsidRPr="004141C1">
        <w:rPr>
          <w:i/>
          <w:sz w:val="18"/>
          <w:lang w:val="en-US"/>
        </w:rPr>
        <w:tab/>
      </w:r>
      <w:r w:rsidRPr="004141C1">
        <w:rPr>
          <w:i/>
          <w:sz w:val="18"/>
          <w:lang w:val="en-US"/>
        </w:rPr>
        <w:tab/>
        <w:t>Page</w:t>
      </w:r>
    </w:p>
    <w:p w:rsidR="008030CC" w:rsidRPr="004141C1" w:rsidRDefault="008030CC" w:rsidP="004141C1">
      <w:pPr>
        <w:tabs>
          <w:tab w:val="right" w:pos="850"/>
          <w:tab w:val="left" w:pos="1134"/>
          <w:tab w:val="left" w:pos="1559"/>
          <w:tab w:val="left" w:pos="1984"/>
          <w:tab w:val="left" w:leader="dot" w:pos="8929"/>
          <w:tab w:val="right" w:pos="9638"/>
        </w:tabs>
        <w:spacing w:after="120"/>
        <w:rPr>
          <w:lang w:val="en-US"/>
        </w:rPr>
      </w:pPr>
      <w:r w:rsidRPr="004141C1">
        <w:rPr>
          <w:lang w:val="en-US"/>
        </w:rPr>
        <w:tab/>
        <w:t>I.</w:t>
      </w:r>
      <w:r w:rsidRPr="004141C1">
        <w:rPr>
          <w:lang w:val="en-US"/>
        </w:rPr>
        <w:tab/>
        <w:t>Introduction</w:t>
      </w:r>
      <w:r w:rsidRPr="004141C1">
        <w:rPr>
          <w:lang w:val="en-US"/>
        </w:rPr>
        <w:tab/>
      </w:r>
      <w:r w:rsidRPr="004141C1">
        <w:rPr>
          <w:lang w:val="en-US"/>
        </w:rPr>
        <w:tab/>
      </w:r>
      <w:r w:rsidR="00643630" w:rsidRPr="004141C1">
        <w:rPr>
          <w:lang w:val="en-US"/>
        </w:rPr>
        <w:t>4</w:t>
      </w:r>
    </w:p>
    <w:p w:rsidR="00215F2E" w:rsidRPr="00490BD1" w:rsidRDefault="00215F2E" w:rsidP="004141C1">
      <w:pPr>
        <w:tabs>
          <w:tab w:val="right" w:pos="850"/>
          <w:tab w:val="left" w:pos="1134"/>
          <w:tab w:val="left" w:pos="1559"/>
          <w:tab w:val="left" w:pos="1984"/>
          <w:tab w:val="left" w:leader="dot" w:pos="8929"/>
          <w:tab w:val="right" w:pos="9638"/>
        </w:tabs>
        <w:spacing w:after="120"/>
        <w:rPr>
          <w:sz w:val="24"/>
          <w:szCs w:val="24"/>
        </w:rPr>
      </w:pPr>
      <w:r w:rsidRPr="004141C1">
        <w:rPr>
          <w:sz w:val="24"/>
          <w:szCs w:val="24"/>
          <w:lang w:val="en-US"/>
        </w:rPr>
        <w:tab/>
      </w:r>
      <w:r w:rsidRPr="00490BD1">
        <w:t>II.</w:t>
      </w:r>
      <w:r w:rsidRPr="00490BD1">
        <w:tab/>
        <w:t>Activities of the Working Group in 201</w:t>
      </w:r>
      <w:r w:rsidR="008970B1" w:rsidRPr="00490BD1">
        <w:t>4</w:t>
      </w:r>
      <w:r w:rsidRPr="00490BD1">
        <w:tab/>
      </w:r>
      <w:r w:rsidR="005B318C" w:rsidRPr="00490BD1">
        <w:tab/>
      </w:r>
      <w:r w:rsidR="00643630">
        <w:t>4</w:t>
      </w:r>
    </w:p>
    <w:p w:rsidR="008030CC" w:rsidRPr="00490BD1" w:rsidRDefault="008030CC" w:rsidP="004141C1">
      <w:pPr>
        <w:tabs>
          <w:tab w:val="right" w:pos="850"/>
          <w:tab w:val="left" w:pos="1134"/>
          <w:tab w:val="left" w:pos="1559"/>
          <w:tab w:val="left" w:pos="1984"/>
          <w:tab w:val="left" w:leader="dot" w:pos="8929"/>
          <w:tab w:val="right" w:pos="9638"/>
        </w:tabs>
        <w:spacing w:after="120"/>
      </w:pPr>
      <w:r w:rsidRPr="00490BD1">
        <w:tab/>
      </w:r>
      <w:r w:rsidRPr="00490BD1">
        <w:tab/>
        <w:t>A.</w:t>
      </w:r>
      <w:r w:rsidRPr="00490BD1">
        <w:tab/>
        <w:t xml:space="preserve">Handling of communications addressed to the Working Group </w:t>
      </w:r>
      <w:r w:rsidR="005634FC">
        <w:t>during</w:t>
      </w:r>
      <w:r w:rsidRPr="00490BD1">
        <w:t xml:space="preserve"> 2014</w:t>
      </w:r>
      <w:r w:rsidRPr="00490BD1">
        <w:tab/>
      </w:r>
      <w:r w:rsidRPr="00490BD1">
        <w:tab/>
      </w:r>
      <w:r w:rsidR="005634FC">
        <w:t>5</w:t>
      </w:r>
    </w:p>
    <w:p w:rsidR="005B318C" w:rsidRPr="00490BD1" w:rsidRDefault="00215F2E" w:rsidP="004141C1">
      <w:pPr>
        <w:tabs>
          <w:tab w:val="right" w:pos="850"/>
          <w:tab w:val="left" w:pos="1134"/>
          <w:tab w:val="left" w:pos="1559"/>
          <w:tab w:val="left" w:pos="1984"/>
          <w:tab w:val="left" w:leader="dot" w:pos="8929"/>
          <w:tab w:val="right" w:pos="9638"/>
        </w:tabs>
        <w:spacing w:after="120"/>
      </w:pPr>
      <w:r w:rsidRPr="00490BD1">
        <w:tab/>
      </w:r>
      <w:r w:rsidRPr="00490BD1">
        <w:tab/>
        <w:t>B.</w:t>
      </w:r>
      <w:r w:rsidRPr="00490BD1">
        <w:tab/>
        <w:t>Country visits</w:t>
      </w:r>
      <w:r w:rsidRPr="00490BD1">
        <w:tab/>
      </w:r>
      <w:r w:rsidR="008030CC" w:rsidRPr="00490BD1">
        <w:tab/>
      </w:r>
      <w:r w:rsidR="00643630">
        <w:t>15</w:t>
      </w:r>
    </w:p>
    <w:p w:rsidR="008A19FF" w:rsidRPr="00490BD1" w:rsidRDefault="008A19FF" w:rsidP="004141C1">
      <w:pPr>
        <w:tabs>
          <w:tab w:val="right" w:pos="850"/>
          <w:tab w:val="left" w:pos="1134"/>
          <w:tab w:val="left" w:pos="1559"/>
          <w:tab w:val="left" w:pos="1984"/>
          <w:tab w:val="left" w:leader="dot" w:pos="8929"/>
          <w:tab w:val="right" w:pos="9638"/>
        </w:tabs>
        <w:spacing w:after="120"/>
      </w:pPr>
      <w:r w:rsidRPr="00490BD1">
        <w:tab/>
      </w:r>
      <w:r w:rsidRPr="00490BD1">
        <w:tab/>
      </w:r>
      <w:r>
        <w:t>C</w:t>
      </w:r>
      <w:r w:rsidRPr="00490BD1">
        <w:t>.</w:t>
      </w:r>
      <w:r w:rsidRPr="00490BD1">
        <w:tab/>
      </w:r>
      <w:r w:rsidRPr="007A5B37">
        <w:t xml:space="preserve">Consideration </w:t>
      </w:r>
      <w:r w:rsidR="007A5B37">
        <w:t xml:space="preserve">of </w:t>
      </w:r>
      <w:r>
        <w:t xml:space="preserve">the </w:t>
      </w:r>
      <w:r w:rsidR="00B21421">
        <w:t>t</w:t>
      </w:r>
      <w:r>
        <w:t>itle of the Working Group</w:t>
      </w:r>
      <w:r w:rsidRPr="00490BD1">
        <w:tab/>
      </w:r>
      <w:r w:rsidRPr="00490BD1">
        <w:tab/>
      </w:r>
      <w:r w:rsidR="00643630">
        <w:t>1</w:t>
      </w:r>
      <w:r w:rsidR="00545D42">
        <w:t>5</w:t>
      </w:r>
    </w:p>
    <w:p w:rsidR="005B318C" w:rsidRPr="00490BD1" w:rsidRDefault="005B318C" w:rsidP="004141C1">
      <w:pPr>
        <w:tabs>
          <w:tab w:val="right" w:pos="850"/>
          <w:tab w:val="left" w:pos="1134"/>
          <w:tab w:val="left" w:pos="1559"/>
          <w:tab w:val="left" w:pos="1984"/>
          <w:tab w:val="left" w:leader="dot" w:pos="8929"/>
          <w:tab w:val="right" w:pos="9638"/>
        </w:tabs>
        <w:spacing w:after="120"/>
      </w:pPr>
      <w:r w:rsidRPr="004141C1">
        <w:tab/>
      </w:r>
      <w:r w:rsidR="00215F2E" w:rsidRPr="00490BD1">
        <w:tab/>
      </w:r>
      <w:r w:rsidR="00193C1D">
        <w:t>D</w:t>
      </w:r>
      <w:r w:rsidR="00215F2E" w:rsidRPr="00490BD1">
        <w:t>.</w:t>
      </w:r>
      <w:r w:rsidR="00215F2E" w:rsidRPr="00490BD1">
        <w:tab/>
      </w:r>
      <w:r w:rsidR="00310D87" w:rsidRPr="00490BD1">
        <w:t>Follow-up to the joint study on secret detention</w:t>
      </w:r>
      <w:r w:rsidR="008030CC" w:rsidRPr="00490BD1">
        <w:tab/>
      </w:r>
      <w:r w:rsidR="00643630">
        <w:tab/>
        <w:t>1</w:t>
      </w:r>
      <w:r w:rsidR="00545D42">
        <w:t>6</w:t>
      </w:r>
    </w:p>
    <w:p w:rsidR="00215F2E" w:rsidRPr="00490BD1" w:rsidRDefault="005B318C" w:rsidP="004141C1">
      <w:pPr>
        <w:tabs>
          <w:tab w:val="right" w:pos="850"/>
          <w:tab w:val="left" w:pos="1134"/>
          <w:tab w:val="left" w:pos="1559"/>
          <w:tab w:val="left" w:pos="1984"/>
          <w:tab w:val="left" w:leader="dot" w:pos="8929"/>
          <w:tab w:val="right" w:pos="9638"/>
        </w:tabs>
        <w:spacing w:after="120"/>
      </w:pPr>
      <w:r w:rsidRPr="00490BD1">
        <w:tab/>
      </w:r>
      <w:r w:rsidRPr="00490BD1">
        <w:tab/>
      </w:r>
      <w:r w:rsidR="00193C1D">
        <w:t>E</w:t>
      </w:r>
      <w:r w:rsidRPr="00490BD1">
        <w:t>.</w:t>
      </w:r>
      <w:r w:rsidRPr="00490BD1">
        <w:tab/>
      </w:r>
      <w:r w:rsidR="00310D87" w:rsidRPr="00490BD1">
        <w:t>Prevention of imminent arbitrary deprivation of liberty</w:t>
      </w:r>
      <w:r w:rsidR="00215F2E" w:rsidRPr="00490BD1">
        <w:tab/>
      </w:r>
      <w:r w:rsidR="00643630">
        <w:tab/>
        <w:t>1</w:t>
      </w:r>
      <w:r w:rsidR="00545D42">
        <w:t>6</w:t>
      </w:r>
    </w:p>
    <w:p w:rsidR="00215F2E" w:rsidRPr="00100AC1" w:rsidRDefault="00215F2E" w:rsidP="004141C1">
      <w:pPr>
        <w:tabs>
          <w:tab w:val="right" w:pos="850"/>
          <w:tab w:val="left" w:pos="1134"/>
          <w:tab w:val="left" w:pos="1559"/>
          <w:tab w:val="left" w:pos="1984"/>
          <w:tab w:val="left" w:leader="dot" w:pos="8929"/>
          <w:tab w:val="right" w:pos="9638"/>
        </w:tabs>
        <w:spacing w:after="120"/>
      </w:pPr>
      <w:r w:rsidRPr="00490BD1">
        <w:tab/>
      </w:r>
      <w:r w:rsidRPr="00100AC1">
        <w:t>III.</w:t>
      </w:r>
      <w:r w:rsidRPr="00100AC1">
        <w:tab/>
      </w:r>
      <w:r w:rsidR="004928FC" w:rsidRPr="00100AC1">
        <w:t xml:space="preserve">Thematic </w:t>
      </w:r>
      <w:r w:rsidR="00213A28" w:rsidRPr="00100AC1">
        <w:t>i</w:t>
      </w:r>
      <w:r w:rsidR="004928FC" w:rsidRPr="00100AC1">
        <w:t xml:space="preserve">ssues </w:t>
      </w:r>
      <w:r w:rsidRPr="00100AC1">
        <w:tab/>
      </w:r>
      <w:r w:rsidRPr="00100AC1">
        <w:tab/>
      </w:r>
      <w:r w:rsidR="00643630">
        <w:t>1</w:t>
      </w:r>
      <w:r w:rsidR="00545D42">
        <w:t>7</w:t>
      </w:r>
    </w:p>
    <w:p w:rsidR="00215F2E" w:rsidRPr="008A19FF" w:rsidRDefault="00215F2E" w:rsidP="004141C1">
      <w:pPr>
        <w:tabs>
          <w:tab w:val="right" w:pos="850"/>
          <w:tab w:val="left" w:pos="1134"/>
          <w:tab w:val="left" w:pos="1559"/>
          <w:tab w:val="left" w:pos="1984"/>
          <w:tab w:val="left" w:leader="dot" w:pos="8929"/>
          <w:tab w:val="right" w:pos="9638"/>
        </w:tabs>
        <w:spacing w:after="120"/>
      </w:pPr>
      <w:r w:rsidRPr="008A19FF">
        <w:tab/>
      </w:r>
      <w:r w:rsidRPr="008A19FF">
        <w:tab/>
        <w:t>A.</w:t>
      </w:r>
      <w:r w:rsidRPr="008A19FF">
        <w:tab/>
      </w:r>
      <w:r w:rsidR="005B318C" w:rsidRPr="008A19FF">
        <w:t>Detention in the context of drug control</w:t>
      </w:r>
      <w:r w:rsidR="004928FC" w:rsidRPr="008A19FF">
        <w:t xml:space="preserve"> </w:t>
      </w:r>
      <w:r w:rsidRPr="008A19FF">
        <w:tab/>
      </w:r>
      <w:r w:rsidRPr="008A19FF">
        <w:tab/>
      </w:r>
      <w:r w:rsidR="00643630">
        <w:t>1</w:t>
      </w:r>
      <w:r w:rsidR="00545D42">
        <w:t>7</w:t>
      </w:r>
    </w:p>
    <w:p w:rsidR="0069449D" w:rsidRPr="00490BD1" w:rsidRDefault="00310D87" w:rsidP="004141C1">
      <w:pPr>
        <w:tabs>
          <w:tab w:val="right" w:pos="850"/>
          <w:tab w:val="left" w:pos="1134"/>
          <w:tab w:val="left" w:pos="1559"/>
          <w:tab w:val="left" w:pos="1984"/>
          <w:tab w:val="left" w:leader="dot" w:pos="8929"/>
          <w:tab w:val="right" w:pos="9638"/>
        </w:tabs>
        <w:spacing w:after="120"/>
      </w:pPr>
      <w:r w:rsidRPr="00100AC1">
        <w:tab/>
      </w:r>
      <w:r w:rsidRPr="00100AC1">
        <w:tab/>
      </w:r>
      <w:r w:rsidR="00E62DDE" w:rsidRPr="00100AC1">
        <w:t>B</w:t>
      </w:r>
      <w:r w:rsidRPr="00100AC1">
        <w:t>.</w:t>
      </w:r>
      <w:r w:rsidRPr="00100AC1">
        <w:tab/>
      </w:r>
      <w:r w:rsidR="00100AC1" w:rsidRPr="00100AC1">
        <w:t>Peaceful protests and arbitrary detention</w:t>
      </w:r>
      <w:r w:rsidR="00643630">
        <w:tab/>
      </w:r>
      <w:r w:rsidR="0069449D">
        <w:tab/>
      </w:r>
      <w:r w:rsidR="00545D42">
        <w:t>19</w:t>
      </w:r>
    </w:p>
    <w:p w:rsidR="0069449D" w:rsidRPr="00490BD1" w:rsidRDefault="0069449D" w:rsidP="004141C1">
      <w:pPr>
        <w:tabs>
          <w:tab w:val="right" w:pos="850"/>
          <w:tab w:val="left" w:pos="1134"/>
          <w:tab w:val="left" w:pos="1559"/>
          <w:tab w:val="left" w:pos="1984"/>
          <w:tab w:val="left" w:leader="dot" w:pos="8929"/>
          <w:tab w:val="right" w:pos="9638"/>
        </w:tabs>
        <w:spacing w:after="120"/>
      </w:pPr>
      <w:r w:rsidRPr="00490BD1">
        <w:tab/>
      </w:r>
      <w:r w:rsidRPr="00490BD1">
        <w:tab/>
      </w:r>
      <w:r>
        <w:t>C</w:t>
      </w:r>
      <w:r w:rsidRPr="00490BD1">
        <w:t>.</w:t>
      </w:r>
      <w:r w:rsidRPr="00490BD1">
        <w:tab/>
      </w:r>
      <w:r>
        <w:t>Remedies for arbitrary detention</w:t>
      </w:r>
      <w:r w:rsidRPr="00490BD1">
        <w:tab/>
      </w:r>
      <w:r w:rsidRPr="00490BD1">
        <w:tab/>
      </w:r>
      <w:r w:rsidR="00545D42">
        <w:t>19</w:t>
      </w:r>
    </w:p>
    <w:p w:rsidR="00215F2E" w:rsidRPr="004141C1" w:rsidRDefault="00215F2E" w:rsidP="004141C1">
      <w:pPr>
        <w:tabs>
          <w:tab w:val="right" w:pos="850"/>
          <w:tab w:val="left" w:pos="1134"/>
          <w:tab w:val="left" w:pos="1559"/>
          <w:tab w:val="left" w:pos="1984"/>
          <w:tab w:val="left" w:leader="dot" w:pos="8929"/>
          <w:tab w:val="right" w:pos="9638"/>
        </w:tabs>
        <w:spacing w:after="120"/>
        <w:rPr>
          <w:lang w:val="en-US"/>
        </w:rPr>
      </w:pPr>
      <w:r w:rsidRPr="00490BD1">
        <w:tab/>
      </w:r>
      <w:r w:rsidRPr="004141C1">
        <w:t>IV.</w:t>
      </w:r>
      <w:r w:rsidRPr="004141C1">
        <w:tab/>
        <w:t>Conclusions</w:t>
      </w:r>
      <w:r w:rsidRPr="004141C1">
        <w:tab/>
      </w:r>
      <w:r w:rsidRPr="004141C1">
        <w:tab/>
      </w:r>
      <w:r w:rsidR="00C80AB8" w:rsidRPr="004141C1">
        <w:t>2</w:t>
      </w:r>
      <w:r w:rsidR="00545D42">
        <w:t>0</w:t>
      </w:r>
    </w:p>
    <w:p w:rsidR="00215F2E" w:rsidRPr="004141C1" w:rsidRDefault="00215F2E" w:rsidP="004141C1">
      <w:pPr>
        <w:tabs>
          <w:tab w:val="right" w:pos="850"/>
          <w:tab w:val="left" w:pos="1134"/>
          <w:tab w:val="left" w:pos="1559"/>
          <w:tab w:val="left" w:pos="1984"/>
          <w:tab w:val="left" w:leader="dot" w:pos="8929"/>
          <w:tab w:val="right" w:pos="9638"/>
        </w:tabs>
        <w:spacing w:after="120"/>
        <w:rPr>
          <w:lang w:val="en-US"/>
        </w:rPr>
      </w:pPr>
      <w:r w:rsidRPr="004141C1">
        <w:rPr>
          <w:lang w:val="en-US"/>
        </w:rPr>
        <w:tab/>
        <w:t>V.</w:t>
      </w:r>
      <w:r w:rsidRPr="004141C1">
        <w:rPr>
          <w:lang w:val="en-US"/>
        </w:rPr>
        <w:tab/>
        <w:t>Reco</w:t>
      </w:r>
      <w:r w:rsidR="006D7983" w:rsidRPr="004141C1">
        <w:rPr>
          <w:lang w:val="en-US"/>
        </w:rPr>
        <w:t>m</w:t>
      </w:r>
      <w:r w:rsidRPr="004141C1">
        <w:rPr>
          <w:lang w:val="en-US"/>
        </w:rPr>
        <w:t>m</w:t>
      </w:r>
      <w:r w:rsidR="006D7983" w:rsidRPr="004141C1">
        <w:rPr>
          <w:lang w:val="en-US"/>
        </w:rPr>
        <w:t>e</w:t>
      </w:r>
      <w:r w:rsidRPr="004141C1">
        <w:rPr>
          <w:lang w:val="en-US"/>
        </w:rPr>
        <w:t>ndations</w:t>
      </w:r>
      <w:r w:rsidRPr="004141C1">
        <w:rPr>
          <w:lang w:val="en-US"/>
        </w:rPr>
        <w:tab/>
      </w:r>
      <w:r w:rsidR="0069449D" w:rsidRPr="004141C1">
        <w:rPr>
          <w:lang w:val="en-US"/>
        </w:rPr>
        <w:tab/>
        <w:t>2</w:t>
      </w:r>
      <w:r w:rsidR="00545D42">
        <w:rPr>
          <w:lang w:val="en-US"/>
        </w:rPr>
        <w:t>1</w:t>
      </w:r>
    </w:p>
    <w:p w:rsidR="00C41B22" w:rsidRPr="004141C1" w:rsidRDefault="00C41B22" w:rsidP="0069449D">
      <w:pPr>
        <w:tabs>
          <w:tab w:val="right" w:pos="850"/>
          <w:tab w:val="left" w:pos="1134"/>
          <w:tab w:val="left" w:pos="1559"/>
          <w:tab w:val="left" w:pos="1984"/>
          <w:tab w:val="left" w:leader="dot" w:pos="7654"/>
          <w:tab w:val="right" w:pos="8929"/>
          <w:tab w:val="right" w:pos="9638"/>
        </w:tabs>
        <w:spacing w:after="120"/>
        <w:rPr>
          <w:lang w:val="en-US"/>
        </w:rPr>
      </w:pPr>
      <w:r w:rsidRPr="004141C1">
        <w:rPr>
          <w:sz w:val="18"/>
          <w:lang w:val="en-US"/>
        </w:rPr>
        <w:tab/>
      </w:r>
      <w:r w:rsidRPr="004141C1">
        <w:rPr>
          <w:lang w:val="en-US"/>
        </w:rPr>
        <w:t>Annex</w:t>
      </w:r>
    </w:p>
    <w:p w:rsidR="00C41B22" w:rsidRDefault="00C41B22" w:rsidP="004141C1">
      <w:pPr>
        <w:tabs>
          <w:tab w:val="right" w:pos="850"/>
          <w:tab w:val="left" w:pos="1134"/>
          <w:tab w:val="left" w:pos="1559"/>
          <w:tab w:val="left" w:pos="1984"/>
          <w:tab w:val="left" w:leader="dot" w:pos="8929"/>
          <w:tab w:val="right" w:pos="9638"/>
        </w:tabs>
        <w:spacing w:after="120"/>
      </w:pPr>
      <w:r w:rsidRPr="004141C1">
        <w:rPr>
          <w:lang w:val="en-US"/>
        </w:rPr>
        <w:tab/>
      </w:r>
      <w:r w:rsidRPr="004141C1">
        <w:rPr>
          <w:lang w:val="en-US"/>
        </w:rPr>
        <w:tab/>
      </w:r>
      <w:r w:rsidRPr="0040605F">
        <w:t>Reply from the Government</w:t>
      </w:r>
      <w:r w:rsidR="00CE0EF5">
        <w:t xml:space="preserve"> </w:t>
      </w:r>
      <w:r w:rsidRPr="0040605F">
        <w:t xml:space="preserve">of Cuba </w:t>
      </w:r>
      <w:r w:rsidR="00C20D92">
        <w:t>concerning</w:t>
      </w:r>
      <w:r w:rsidRPr="0040605F">
        <w:t xml:space="preserve"> </w:t>
      </w:r>
      <w:r w:rsidR="00B21421">
        <w:t>o</w:t>
      </w:r>
      <w:r w:rsidRPr="0040605F">
        <w:t xml:space="preserve">pinion </w:t>
      </w:r>
      <w:r w:rsidR="00C03A27">
        <w:t>No. </w:t>
      </w:r>
      <w:r w:rsidRPr="0040605F">
        <w:t>50/2014</w:t>
      </w:r>
      <w:r w:rsidRPr="00800DC9">
        <w:rPr>
          <w:sz w:val="18"/>
        </w:rPr>
        <w:tab/>
      </w:r>
      <w:r w:rsidRPr="00800DC9">
        <w:rPr>
          <w:sz w:val="18"/>
        </w:rPr>
        <w:tab/>
      </w:r>
      <w:r w:rsidR="000D3FC9" w:rsidRPr="004141C1">
        <w:t>2</w:t>
      </w:r>
      <w:r w:rsidR="00545D42">
        <w:t>3</w:t>
      </w:r>
    </w:p>
    <w:p w:rsidR="00BB1938" w:rsidRPr="00174A88" w:rsidRDefault="00215F2E" w:rsidP="00BB1938">
      <w:pPr>
        <w:pStyle w:val="HChG"/>
        <w:rPr>
          <w:sz w:val="32"/>
          <w:szCs w:val="32"/>
        </w:rPr>
      </w:pPr>
      <w:r w:rsidRPr="00C41B22">
        <w:br w:type="page"/>
      </w:r>
      <w:r w:rsidRPr="00C41B22">
        <w:rPr>
          <w:color w:val="FF0000"/>
        </w:rPr>
        <w:tab/>
      </w:r>
      <w:r w:rsidR="00BB1938" w:rsidRPr="00174A88">
        <w:t>I.</w:t>
      </w:r>
      <w:r w:rsidR="00BB1938" w:rsidRPr="00174A88">
        <w:tab/>
        <w:t>Introduction</w:t>
      </w:r>
    </w:p>
    <w:p w:rsidR="00BB1938" w:rsidRPr="00174A88" w:rsidRDefault="0021743E" w:rsidP="0021743E">
      <w:pPr>
        <w:pStyle w:val="SingleTxtG"/>
      </w:pPr>
      <w:r w:rsidRPr="00174A88">
        <w:rPr>
          <w:lang w:val="en-US"/>
        </w:rPr>
        <w:t>1.</w:t>
      </w:r>
      <w:r w:rsidRPr="00174A88">
        <w:rPr>
          <w:lang w:val="en-US"/>
        </w:rPr>
        <w:tab/>
      </w:r>
      <w:r w:rsidR="00BB1938" w:rsidRPr="00174A88">
        <w:t>The Working Group on Arbitrary Detention was established by the Commission on Human Rights in its resolution 1991/42 and entrusted with the investigation of instances of alleged arbitrary deprivation of liberty, according to</w:t>
      </w:r>
      <w:r w:rsidR="00042892">
        <w:t xml:space="preserve"> the</w:t>
      </w:r>
      <w:r w:rsidR="00BB1938" w:rsidRPr="00174A88">
        <w:t xml:space="preserve"> standards set forth in the Universal Declaration of Human Rights and the relevant international instruments accepted by the States concerned. The mandate of the Working Group was clarified and extended by the Commission in its resolution 1997/50 to cover the issue of administrative custody of asylum seekers and immigrants. At its sixth session, the Human Rights Council assessed </w:t>
      </w:r>
      <w:r w:rsidR="00042892">
        <w:t xml:space="preserve">and confirmed </w:t>
      </w:r>
      <w:r w:rsidR="00BB1938" w:rsidRPr="00174A88">
        <w:t xml:space="preserve">the mandate of the Working Group </w:t>
      </w:r>
      <w:r w:rsidR="00C20D92">
        <w:t>(</w:t>
      </w:r>
      <w:r w:rsidR="00042892">
        <w:t xml:space="preserve">Council </w:t>
      </w:r>
      <w:r w:rsidR="00BB1938" w:rsidRPr="00174A88">
        <w:t>resolution 6/4</w:t>
      </w:r>
      <w:r w:rsidR="00042892">
        <w:t>)</w:t>
      </w:r>
      <w:r w:rsidR="00BB1938" w:rsidRPr="00174A88">
        <w:t xml:space="preserve">. On 26 September 2013, </w:t>
      </w:r>
      <w:r w:rsidR="00042892">
        <w:t>in</w:t>
      </w:r>
      <w:r w:rsidR="00BB1938" w:rsidRPr="00174A88">
        <w:t xml:space="preserve"> its resolution 24/7, the Council extended the Working Group’s mandate for a further three-year period.</w:t>
      </w:r>
    </w:p>
    <w:p w:rsidR="00BB1938" w:rsidRPr="00174A88" w:rsidRDefault="0021743E" w:rsidP="0021743E">
      <w:pPr>
        <w:pStyle w:val="SingleTxtG"/>
      </w:pPr>
      <w:r w:rsidRPr="00174A88">
        <w:rPr>
          <w:lang w:val="en-US"/>
        </w:rPr>
        <w:t>2.</w:t>
      </w:r>
      <w:r w:rsidRPr="00174A88">
        <w:rPr>
          <w:lang w:val="en-US"/>
        </w:rPr>
        <w:tab/>
      </w:r>
      <w:r w:rsidR="00BB1938" w:rsidRPr="00174A88">
        <w:t xml:space="preserve">During the period </w:t>
      </w:r>
      <w:r w:rsidR="00AA5294" w:rsidRPr="00174A88">
        <w:t xml:space="preserve">1 </w:t>
      </w:r>
      <w:r w:rsidR="00BB1938" w:rsidRPr="00174A88">
        <w:t>January–</w:t>
      </w:r>
      <w:r w:rsidR="00AA5294" w:rsidRPr="00174A88">
        <w:t>3</w:t>
      </w:r>
      <w:r w:rsidR="007C70A4" w:rsidRPr="00174A88">
        <w:t>1 May</w:t>
      </w:r>
      <w:r w:rsidR="00AA5294" w:rsidRPr="00174A88">
        <w:t xml:space="preserve"> </w:t>
      </w:r>
      <w:r w:rsidR="00BB1938" w:rsidRPr="00174A88">
        <w:t>2014, the Working Group was composed of</w:t>
      </w:r>
      <w:r w:rsidR="00591DFA">
        <w:t xml:space="preserve"> </w:t>
      </w:r>
      <w:proofErr w:type="spellStart"/>
      <w:r w:rsidR="00BB1938" w:rsidRPr="00174A88">
        <w:t>Shaheen</w:t>
      </w:r>
      <w:proofErr w:type="spellEnd"/>
      <w:r w:rsidR="00BB1938" w:rsidRPr="00174A88">
        <w:t xml:space="preserve"> </w:t>
      </w:r>
      <w:proofErr w:type="spellStart"/>
      <w:r w:rsidR="00BB1938" w:rsidRPr="00174A88">
        <w:t>Sardar</w:t>
      </w:r>
      <w:proofErr w:type="spellEnd"/>
      <w:r w:rsidR="00BB1938" w:rsidRPr="00174A88">
        <w:t xml:space="preserve"> Ali (Pakistan),</w:t>
      </w:r>
      <w:r w:rsidR="00A00E2D">
        <w:t xml:space="preserve"> </w:t>
      </w:r>
      <w:r w:rsidR="00BB1938" w:rsidRPr="00174A88">
        <w:t xml:space="preserve">Mads </w:t>
      </w:r>
      <w:proofErr w:type="spellStart"/>
      <w:r w:rsidR="00BB1938" w:rsidRPr="00174A88">
        <w:t>Andenas</w:t>
      </w:r>
      <w:proofErr w:type="spellEnd"/>
      <w:r w:rsidR="00BB1938" w:rsidRPr="00174A88">
        <w:t xml:space="preserve"> (Norway),</w:t>
      </w:r>
      <w:r w:rsidR="00A00E2D">
        <w:t xml:space="preserve"> </w:t>
      </w:r>
      <w:r w:rsidR="00BB1938" w:rsidRPr="00174A88">
        <w:t xml:space="preserve">Roberto </w:t>
      </w:r>
      <w:proofErr w:type="spellStart"/>
      <w:r w:rsidR="00BB1938" w:rsidRPr="00174A88">
        <w:t>Garretón</w:t>
      </w:r>
      <w:proofErr w:type="spellEnd"/>
      <w:r w:rsidR="00BB1938" w:rsidRPr="00174A88">
        <w:t xml:space="preserve"> (Chile),</w:t>
      </w:r>
      <w:r w:rsidR="00A00E2D">
        <w:t xml:space="preserve"> </w:t>
      </w:r>
      <w:r w:rsidR="00BB1938" w:rsidRPr="008D7927">
        <w:t>El</w:t>
      </w:r>
      <w:r w:rsidR="00C20D92">
        <w:t> </w:t>
      </w:r>
      <w:proofErr w:type="spellStart"/>
      <w:r w:rsidR="00BB1938" w:rsidRPr="008D7927">
        <w:t>Hadji</w:t>
      </w:r>
      <w:proofErr w:type="spellEnd"/>
      <w:r w:rsidR="00BB1938" w:rsidRPr="00174A88">
        <w:t xml:space="preserve"> </w:t>
      </w:r>
      <w:proofErr w:type="spellStart"/>
      <w:r w:rsidR="00BB1938" w:rsidRPr="00174A88">
        <w:t>Malick</w:t>
      </w:r>
      <w:proofErr w:type="spellEnd"/>
      <w:r w:rsidR="00BB1938" w:rsidRPr="00174A88">
        <w:t xml:space="preserve"> Sow (Senegal) and</w:t>
      </w:r>
      <w:r w:rsidR="00A00E2D">
        <w:t xml:space="preserve"> </w:t>
      </w:r>
      <w:r w:rsidR="00BB1938" w:rsidRPr="00174A88">
        <w:t xml:space="preserve">Vladimir </w:t>
      </w:r>
      <w:proofErr w:type="spellStart"/>
      <w:r w:rsidR="00BB1938" w:rsidRPr="00174A88">
        <w:t>Tochilovsky</w:t>
      </w:r>
      <w:proofErr w:type="spellEnd"/>
      <w:r w:rsidR="00BB1938" w:rsidRPr="00174A88">
        <w:t xml:space="preserve"> (Ukraine). On 1</w:t>
      </w:r>
      <w:r w:rsidR="00A00E2D">
        <w:t> </w:t>
      </w:r>
      <w:r w:rsidR="00BB1938" w:rsidRPr="00174A88">
        <w:t>Ju</w:t>
      </w:r>
      <w:r w:rsidR="007C70A4" w:rsidRPr="00174A88">
        <w:t>ne</w:t>
      </w:r>
      <w:r w:rsidR="00AA5294" w:rsidRPr="00174A88">
        <w:t xml:space="preserve"> </w:t>
      </w:r>
      <w:r w:rsidR="00BB1938" w:rsidRPr="00174A88">
        <w:t>2014,</w:t>
      </w:r>
      <w:r w:rsidR="00A00E2D">
        <w:t xml:space="preserve"> </w:t>
      </w:r>
      <w:proofErr w:type="spellStart"/>
      <w:r w:rsidR="00BB1938" w:rsidRPr="00174A88">
        <w:t>Sètondji</w:t>
      </w:r>
      <w:proofErr w:type="spellEnd"/>
      <w:r w:rsidR="00BB1938" w:rsidRPr="00174A88">
        <w:t xml:space="preserve"> Roland Jean-Baptiste </w:t>
      </w:r>
      <w:proofErr w:type="spellStart"/>
      <w:r w:rsidR="00BB1938" w:rsidRPr="00174A88">
        <w:t>Adjovi</w:t>
      </w:r>
      <w:proofErr w:type="spellEnd"/>
      <w:r w:rsidR="00BB1938" w:rsidRPr="00174A88">
        <w:t xml:space="preserve"> (Benin) and</w:t>
      </w:r>
      <w:r w:rsidR="00A00E2D">
        <w:t xml:space="preserve"> </w:t>
      </w:r>
      <w:r w:rsidR="00BB1938" w:rsidRPr="00174A88">
        <w:t xml:space="preserve">José Antonio Guevara </w:t>
      </w:r>
      <w:proofErr w:type="spellStart"/>
      <w:r w:rsidR="009C7868" w:rsidRPr="00174A88">
        <w:t>Berm</w:t>
      </w:r>
      <w:r w:rsidR="008D7927">
        <w:t>ú</w:t>
      </w:r>
      <w:r w:rsidR="009C7868" w:rsidRPr="00174A88">
        <w:t>dez</w:t>
      </w:r>
      <w:proofErr w:type="spellEnd"/>
      <w:r w:rsidR="00BB1938" w:rsidRPr="00174A88">
        <w:t xml:space="preserve"> (Mexico) started their functions as members of the Working Group</w:t>
      </w:r>
      <w:r w:rsidR="007A5B37">
        <w:t>,</w:t>
      </w:r>
      <w:r w:rsidR="00BB1938" w:rsidRPr="00174A88">
        <w:t xml:space="preserve"> </w:t>
      </w:r>
      <w:r w:rsidR="007A5B37">
        <w:t>replacing</w:t>
      </w:r>
      <w:r w:rsidR="00BB1938" w:rsidRPr="00174A88">
        <w:t xml:space="preserve"> M</w:t>
      </w:r>
      <w:r w:rsidR="007A5B37">
        <w:t>r</w:t>
      </w:r>
      <w:r w:rsidR="00BB1938" w:rsidRPr="00174A88">
        <w:t xml:space="preserve">. Sow and </w:t>
      </w:r>
      <w:r w:rsidR="007A5B37">
        <w:t xml:space="preserve">Mr. </w:t>
      </w:r>
      <w:proofErr w:type="spellStart"/>
      <w:r w:rsidR="00BB1938" w:rsidRPr="00174A88">
        <w:t>Garretón</w:t>
      </w:r>
      <w:proofErr w:type="spellEnd"/>
      <w:r w:rsidR="00BB1938" w:rsidRPr="00174A88">
        <w:t>, respectively. On 1 August 2014,</w:t>
      </w:r>
      <w:r w:rsidR="00A00E2D">
        <w:t xml:space="preserve"> </w:t>
      </w:r>
      <w:proofErr w:type="spellStart"/>
      <w:r w:rsidR="00BB1938" w:rsidRPr="00174A88">
        <w:t>Seong</w:t>
      </w:r>
      <w:proofErr w:type="spellEnd"/>
      <w:r w:rsidR="00BB1938" w:rsidRPr="00174A88">
        <w:t xml:space="preserve">-Phil </w:t>
      </w:r>
      <w:r w:rsidR="009C7868" w:rsidRPr="00174A88">
        <w:t>Hong (</w:t>
      </w:r>
      <w:r w:rsidR="00BB1938" w:rsidRPr="00174A88">
        <w:t>Republic of Korea) started his functions as a member of the Working Group</w:t>
      </w:r>
      <w:r w:rsidR="00BA681B">
        <w:t>,</w:t>
      </w:r>
      <w:r w:rsidR="00BB1938" w:rsidRPr="00174A88">
        <w:t xml:space="preserve"> </w:t>
      </w:r>
      <w:r w:rsidR="00BA681B">
        <w:t>replacing</w:t>
      </w:r>
      <w:r w:rsidR="00591DFA">
        <w:t xml:space="preserve"> Ms. </w:t>
      </w:r>
      <w:r w:rsidR="00BB1938" w:rsidRPr="00174A88">
        <w:t>Ali.</w:t>
      </w:r>
    </w:p>
    <w:p w:rsidR="00BB1938" w:rsidRPr="00174A88" w:rsidRDefault="0021743E" w:rsidP="0021743E">
      <w:pPr>
        <w:pStyle w:val="SingleTxtG"/>
      </w:pPr>
      <w:r w:rsidRPr="00174A88">
        <w:rPr>
          <w:lang w:val="en-US"/>
        </w:rPr>
        <w:t>3.</w:t>
      </w:r>
      <w:r w:rsidRPr="00174A88">
        <w:rPr>
          <w:lang w:val="en-US"/>
        </w:rPr>
        <w:tab/>
      </w:r>
      <w:r w:rsidR="009C7868" w:rsidRPr="00174A88">
        <w:t>During 2014</w:t>
      </w:r>
      <w:r w:rsidR="00BB1938" w:rsidRPr="00174A88">
        <w:t xml:space="preserve">, </w:t>
      </w:r>
      <w:r w:rsidR="008D7927">
        <w:t>Mr.</w:t>
      </w:r>
      <w:r w:rsidR="008D7927" w:rsidRPr="00174A88">
        <w:t xml:space="preserve"> </w:t>
      </w:r>
      <w:proofErr w:type="spellStart"/>
      <w:r w:rsidR="00BB1938" w:rsidRPr="00174A88">
        <w:t>Andenas</w:t>
      </w:r>
      <w:proofErr w:type="spellEnd"/>
      <w:r w:rsidR="00BB1938" w:rsidRPr="00174A88">
        <w:t xml:space="preserve"> was the Chair-Rapporteur of the Working Group and Vladimir </w:t>
      </w:r>
      <w:proofErr w:type="spellStart"/>
      <w:r w:rsidR="00BB1938" w:rsidRPr="00174A88">
        <w:t>Tochilovsky</w:t>
      </w:r>
      <w:proofErr w:type="spellEnd"/>
      <w:r w:rsidR="00BB1938" w:rsidRPr="00174A88">
        <w:t xml:space="preserve"> its Vice-Chair.</w:t>
      </w:r>
      <w:r w:rsidR="00CE0EF5">
        <w:t xml:space="preserve"> </w:t>
      </w:r>
      <w:r w:rsidR="0001306D">
        <w:t xml:space="preserve">At </w:t>
      </w:r>
      <w:r w:rsidR="00E61A84">
        <w:t xml:space="preserve">the seventy-second </w:t>
      </w:r>
      <w:r w:rsidR="0001306D">
        <w:t>session</w:t>
      </w:r>
      <w:r w:rsidR="00E61A84">
        <w:t xml:space="preserve"> of the Working Group</w:t>
      </w:r>
      <w:r w:rsidR="0001306D">
        <w:t>,</w:t>
      </w:r>
      <w:r w:rsidR="00A00E2D">
        <w:t xml:space="preserve"> Mr. </w:t>
      </w:r>
      <w:r w:rsidR="0001306D">
        <w:t>Hong was elected as Chair-Rapporteur</w:t>
      </w:r>
      <w:r w:rsidR="00E61A84">
        <w:t>,</w:t>
      </w:r>
      <w:r w:rsidR="00A00E2D">
        <w:t xml:space="preserve"> Mr. </w:t>
      </w:r>
      <w:r w:rsidR="0001306D">
        <w:t xml:space="preserve">Guevara </w:t>
      </w:r>
      <w:proofErr w:type="spellStart"/>
      <w:r w:rsidR="00E61A84">
        <w:t>Berm</w:t>
      </w:r>
      <w:r w:rsidR="00E61A84" w:rsidRPr="00E61A84">
        <w:t>ú</w:t>
      </w:r>
      <w:r w:rsidR="00E61A84">
        <w:t>dez</w:t>
      </w:r>
      <w:proofErr w:type="spellEnd"/>
      <w:r w:rsidR="00E61A84">
        <w:t xml:space="preserve"> </w:t>
      </w:r>
      <w:r w:rsidR="0001306D">
        <w:t>as First Vice-Chair and</w:t>
      </w:r>
      <w:r w:rsidR="00A00E2D">
        <w:t xml:space="preserve"> Mr. </w:t>
      </w:r>
      <w:proofErr w:type="spellStart"/>
      <w:r w:rsidR="0001306D">
        <w:t>Adjovi</w:t>
      </w:r>
      <w:proofErr w:type="spellEnd"/>
      <w:r w:rsidR="0001306D">
        <w:t xml:space="preserve"> as </w:t>
      </w:r>
      <w:r w:rsidR="00E61A84">
        <w:t>S</w:t>
      </w:r>
      <w:r w:rsidR="0001306D">
        <w:t>econd Vice-Chair.</w:t>
      </w:r>
    </w:p>
    <w:p w:rsidR="00BB1938" w:rsidRPr="006A5ACA" w:rsidRDefault="00BB1938" w:rsidP="006A5ACA">
      <w:pPr>
        <w:pStyle w:val="HChG"/>
      </w:pPr>
      <w:r w:rsidRPr="006A5ACA">
        <w:tab/>
        <w:t>II.</w:t>
      </w:r>
      <w:r w:rsidRPr="006A5ACA">
        <w:tab/>
        <w:t>Activities of the Working Group in 2014</w:t>
      </w:r>
    </w:p>
    <w:p w:rsidR="005B7E34" w:rsidRPr="00174A88" w:rsidRDefault="0021743E" w:rsidP="0021743E">
      <w:pPr>
        <w:pStyle w:val="SingleTxtG"/>
      </w:pPr>
      <w:r w:rsidRPr="00174A88">
        <w:rPr>
          <w:lang w:val="en-US"/>
        </w:rPr>
        <w:t>4.</w:t>
      </w:r>
      <w:r w:rsidRPr="00174A88">
        <w:rPr>
          <w:lang w:val="en-US"/>
        </w:rPr>
        <w:tab/>
      </w:r>
      <w:r w:rsidR="00BB1938" w:rsidRPr="00174A88">
        <w:t>During the period 1 January to 31 December 2014, the Working Group held its sixty-ninth, seventieth and seventy-first sessions. It undertook an official mission to New Zealand</w:t>
      </w:r>
      <w:r w:rsidR="00624494">
        <w:t>,</w:t>
      </w:r>
      <w:r w:rsidR="00BB1938" w:rsidRPr="00174A88">
        <w:t xml:space="preserve"> from 24 March to 7 April 2014</w:t>
      </w:r>
      <w:r w:rsidR="00624494">
        <w:t>,</w:t>
      </w:r>
      <w:r w:rsidR="00BB1938" w:rsidRPr="00174A88">
        <w:t xml:space="preserve"> and two follow-up visits, one to Germany</w:t>
      </w:r>
      <w:r w:rsidR="00E61A84">
        <w:t>,</w:t>
      </w:r>
      <w:r w:rsidR="00BB1938" w:rsidRPr="00174A88">
        <w:t xml:space="preserve"> from 12 to 14 November 2014 and one to Italy</w:t>
      </w:r>
      <w:r w:rsidR="00E61A84">
        <w:t>,</w:t>
      </w:r>
      <w:r w:rsidR="00BB1938" w:rsidRPr="00174A88">
        <w:t xml:space="preserve"> from 7 to 9 July 2014</w:t>
      </w:r>
      <w:r w:rsidR="00CE0EF5">
        <w:t xml:space="preserve"> </w:t>
      </w:r>
      <w:r w:rsidR="00BB1938" w:rsidRPr="00174A88">
        <w:t>(see</w:t>
      </w:r>
      <w:r w:rsidR="00E61A84">
        <w:t xml:space="preserve"> A/HRC/30/36/Add.</w:t>
      </w:r>
      <w:r w:rsidR="00BB1938" w:rsidRPr="00174A88">
        <w:t>2, 4 and 3</w:t>
      </w:r>
      <w:r w:rsidR="009C7868" w:rsidRPr="00174A88">
        <w:t>, respectively</w:t>
      </w:r>
      <w:r w:rsidR="00BB1938" w:rsidRPr="00174A88">
        <w:t>).</w:t>
      </w:r>
    </w:p>
    <w:p w:rsidR="00FA1350" w:rsidRPr="00174A88" w:rsidRDefault="0021743E" w:rsidP="0021743E">
      <w:pPr>
        <w:pStyle w:val="SingleTxtG"/>
      </w:pPr>
      <w:r w:rsidRPr="00174A88">
        <w:rPr>
          <w:lang w:val="en-US"/>
        </w:rPr>
        <w:t>5.</w:t>
      </w:r>
      <w:r w:rsidRPr="00174A88">
        <w:rPr>
          <w:lang w:val="en-US"/>
        </w:rPr>
        <w:tab/>
      </w:r>
      <w:r w:rsidR="00FA1350" w:rsidRPr="00174A88">
        <w:t>On 24 March 2014, the Government of Nauru cancelled the visit of the Working Group scheduled to take place from 14 to 19 April 2014</w:t>
      </w:r>
      <w:r w:rsidR="009558F3">
        <w:t>,</w:t>
      </w:r>
      <w:r w:rsidR="00FA1350" w:rsidRPr="00174A88">
        <w:t xml:space="preserve"> </w:t>
      </w:r>
      <w:r w:rsidR="009558F3">
        <w:t>owing</w:t>
      </w:r>
      <w:r w:rsidR="00FA1350" w:rsidRPr="00174A88">
        <w:t xml:space="preserve"> to </w:t>
      </w:r>
      <w:r w:rsidR="008A2B8B">
        <w:t>“</w:t>
      </w:r>
      <w:r w:rsidR="00FA1350" w:rsidRPr="00174A88">
        <w:t xml:space="preserve">unforeseen circumstances”. The Government has not </w:t>
      </w:r>
      <w:r w:rsidR="008A2B8B">
        <w:t xml:space="preserve">yet </w:t>
      </w:r>
      <w:r w:rsidR="00FA1350" w:rsidRPr="00174A88">
        <w:t xml:space="preserve">accepted </w:t>
      </w:r>
      <w:r w:rsidR="008A2B8B">
        <w:t>the</w:t>
      </w:r>
      <w:r w:rsidR="00FA1350" w:rsidRPr="00174A88">
        <w:t xml:space="preserve"> new </w:t>
      </w:r>
      <w:r w:rsidR="008A2B8B">
        <w:t xml:space="preserve">visit </w:t>
      </w:r>
      <w:r w:rsidR="00FA1350" w:rsidRPr="00174A88">
        <w:t xml:space="preserve">dates proposed by the Working Group. </w:t>
      </w:r>
    </w:p>
    <w:p w:rsidR="008017AB" w:rsidRPr="00174A88" w:rsidRDefault="0021743E" w:rsidP="0021743E">
      <w:pPr>
        <w:pStyle w:val="SingleTxtG"/>
      </w:pPr>
      <w:r w:rsidRPr="00174A88">
        <w:rPr>
          <w:lang w:val="en-US"/>
        </w:rPr>
        <w:t>6.</w:t>
      </w:r>
      <w:r w:rsidRPr="00174A88">
        <w:rPr>
          <w:lang w:val="en-US"/>
        </w:rPr>
        <w:tab/>
      </w:r>
      <w:r w:rsidR="00BB1938" w:rsidRPr="00174A88">
        <w:t xml:space="preserve">Pursuant to Human Rights Council resolution 20/16, the Working Group </w:t>
      </w:r>
      <w:r w:rsidR="00ED2E81" w:rsidRPr="00BA681B">
        <w:t>adopted</w:t>
      </w:r>
      <w:r w:rsidR="00ED2E81">
        <w:t xml:space="preserve"> a</w:t>
      </w:r>
      <w:r w:rsidR="008A2B8B">
        <w:t>t</w:t>
      </w:r>
      <w:r w:rsidR="00ED2E81">
        <w:t xml:space="preserve"> its </w:t>
      </w:r>
      <w:r w:rsidR="008A2B8B">
        <w:t xml:space="preserve">seventy-second </w:t>
      </w:r>
      <w:r w:rsidR="00ED2E81">
        <w:t xml:space="preserve">session the </w:t>
      </w:r>
      <w:r w:rsidR="008A2B8B">
        <w:t xml:space="preserve">draft </w:t>
      </w:r>
      <w:r w:rsidR="00BB1938" w:rsidRPr="00174A88">
        <w:t xml:space="preserve">basic principles and guidelines on remedies and procedures </w:t>
      </w:r>
      <w:r w:rsidR="00BB1938" w:rsidRPr="00BA681B">
        <w:t>on</w:t>
      </w:r>
      <w:r w:rsidR="00BB1938" w:rsidRPr="00174A88">
        <w:t xml:space="preserve"> the right of anyone deprived of his or her liberty by arrest or detention to bring proceedings before court. The draft basic principles and guidelines </w:t>
      </w:r>
      <w:r w:rsidR="008A2B8B">
        <w:t xml:space="preserve">are </w:t>
      </w:r>
      <w:r w:rsidR="00BB1938" w:rsidRPr="00174A88">
        <w:t>aim</w:t>
      </w:r>
      <w:r w:rsidR="008A2B8B">
        <w:t>ed</w:t>
      </w:r>
      <w:r w:rsidR="00BB1938" w:rsidRPr="00174A88">
        <w:t xml:space="preserve"> at assisting Member States in fulfilling their obligation to avoid arbitrary deprivation of liberty, in compliance with international human rights law.</w:t>
      </w:r>
      <w:r w:rsidR="008017AB" w:rsidRPr="00174A88">
        <w:t xml:space="preserve"> </w:t>
      </w:r>
    </w:p>
    <w:p w:rsidR="008017AB" w:rsidRPr="00BA681B" w:rsidRDefault="0021743E" w:rsidP="0021743E">
      <w:pPr>
        <w:pStyle w:val="SingleTxtG"/>
      </w:pPr>
      <w:r w:rsidRPr="00BA681B">
        <w:rPr>
          <w:lang w:val="en-US"/>
        </w:rPr>
        <w:t>7.</w:t>
      </w:r>
      <w:r w:rsidRPr="00BA681B">
        <w:rPr>
          <w:lang w:val="en-US"/>
        </w:rPr>
        <w:tab/>
      </w:r>
      <w:r w:rsidR="008017AB" w:rsidRPr="00174A88">
        <w:t xml:space="preserve">The Working Group submitted to the Human Rights Council </w:t>
      </w:r>
      <w:r w:rsidR="006E4FBF">
        <w:t>at its twenty-seventh session a report in which it compiled</w:t>
      </w:r>
      <w:r w:rsidR="008017AB" w:rsidRPr="00174A88">
        <w:t xml:space="preserve"> international, regional and national legal frameworks </w:t>
      </w:r>
      <w:r w:rsidR="006E4FBF">
        <w:t>on</w:t>
      </w:r>
      <w:r w:rsidR="006E4FBF" w:rsidRPr="00174A88">
        <w:t xml:space="preserve"> </w:t>
      </w:r>
      <w:r w:rsidR="008017AB" w:rsidRPr="00174A88">
        <w:t>the right to challenge the lawfulness of detention before court</w:t>
      </w:r>
      <w:r w:rsidR="006E4FBF">
        <w:t xml:space="preserve"> </w:t>
      </w:r>
      <w:r w:rsidR="006E4FBF" w:rsidRPr="006E4FBF">
        <w:t>(A/HRC/27/47)</w:t>
      </w:r>
      <w:r w:rsidR="008017AB" w:rsidRPr="00174A88">
        <w:t>. Th</w:t>
      </w:r>
      <w:r w:rsidR="006E4FBF">
        <w:t>e</w:t>
      </w:r>
      <w:r w:rsidR="008017AB" w:rsidRPr="00174A88">
        <w:t xml:space="preserve"> report was based </w:t>
      </w:r>
      <w:r w:rsidR="006E4FBF" w:rsidRPr="006E4FBF">
        <w:t xml:space="preserve">largely </w:t>
      </w:r>
      <w:r w:rsidR="008017AB" w:rsidRPr="00174A88">
        <w:t xml:space="preserve">on the responses submitted by a wide range of stakeholders to </w:t>
      </w:r>
      <w:r w:rsidR="0038187A">
        <w:t>a</w:t>
      </w:r>
      <w:r w:rsidR="0038187A" w:rsidRPr="00174A88">
        <w:t xml:space="preserve"> </w:t>
      </w:r>
      <w:r w:rsidR="006E4FBF">
        <w:t xml:space="preserve">questionnaire sent by the </w:t>
      </w:r>
      <w:r w:rsidR="008017AB" w:rsidRPr="00174A88">
        <w:t>Working Group</w:t>
      </w:r>
      <w:r w:rsidR="006E4FBF">
        <w:t>, in which it</w:t>
      </w:r>
      <w:r w:rsidR="008017AB" w:rsidRPr="00174A88">
        <w:t xml:space="preserve"> request</w:t>
      </w:r>
      <w:r w:rsidR="006E4FBF">
        <w:t>ed</w:t>
      </w:r>
      <w:r w:rsidR="008017AB" w:rsidRPr="00174A88">
        <w:t xml:space="preserve"> </w:t>
      </w:r>
      <w:r w:rsidR="008017AB" w:rsidRPr="00BA681B">
        <w:t>details on the treatment of the right in the respective legal frameworks.</w:t>
      </w:r>
    </w:p>
    <w:p w:rsidR="00BB1938" w:rsidRPr="00174A88" w:rsidRDefault="0021743E" w:rsidP="0021743E">
      <w:pPr>
        <w:pStyle w:val="SingleTxtG"/>
      </w:pPr>
      <w:r w:rsidRPr="00174A88">
        <w:rPr>
          <w:lang w:val="en-US"/>
        </w:rPr>
        <w:t>8.</w:t>
      </w:r>
      <w:r w:rsidRPr="00174A88">
        <w:rPr>
          <w:lang w:val="en-US"/>
        </w:rPr>
        <w:tab/>
      </w:r>
      <w:r w:rsidR="0027364A">
        <w:t>T</w:t>
      </w:r>
      <w:r w:rsidR="00C23490">
        <w:t xml:space="preserve">he Working Group is submitting to the Human Rights Council </w:t>
      </w:r>
      <w:r w:rsidR="0038187A">
        <w:t xml:space="preserve">at </w:t>
      </w:r>
      <w:r w:rsidR="0027364A">
        <w:t>its thirtieth session a</w:t>
      </w:r>
      <w:r w:rsidR="00BB1938" w:rsidRPr="00174A88">
        <w:t xml:space="preserve"> </w:t>
      </w:r>
      <w:r w:rsidR="008970B1" w:rsidRPr="00174A88">
        <w:t xml:space="preserve">separate </w:t>
      </w:r>
      <w:r w:rsidR="00BB1938" w:rsidRPr="00174A88">
        <w:t>report co</w:t>
      </w:r>
      <w:r w:rsidR="00C23490">
        <w:t>ntaining</w:t>
      </w:r>
      <w:r w:rsidR="00BB1938" w:rsidRPr="00174A88">
        <w:t xml:space="preserve"> the draft principles and guidelines</w:t>
      </w:r>
      <w:r w:rsidR="008970B1" w:rsidRPr="00174A88">
        <w:t xml:space="preserve"> </w:t>
      </w:r>
      <w:r w:rsidR="0008199F" w:rsidRPr="00174A88">
        <w:t>(A/HRC/30/</w:t>
      </w:r>
      <w:r w:rsidR="005B7E34" w:rsidRPr="0038187A">
        <w:t>37</w:t>
      </w:r>
      <w:r w:rsidR="0008199F" w:rsidRPr="0038187A">
        <w:t>)</w:t>
      </w:r>
      <w:r w:rsidR="00BB1938" w:rsidRPr="0038187A">
        <w:t>.</w:t>
      </w:r>
      <w:r w:rsidR="00A00E2D">
        <w:t xml:space="preserve"> </w:t>
      </w:r>
      <w:r w:rsidR="00A00E2D" w:rsidRPr="00BA681B">
        <w:t>Mr.</w:t>
      </w:r>
      <w:r w:rsidR="00013F90">
        <w:t> </w:t>
      </w:r>
      <w:proofErr w:type="spellStart"/>
      <w:r w:rsidR="006046D7" w:rsidRPr="00BA681B">
        <w:t>Andenas</w:t>
      </w:r>
      <w:proofErr w:type="spellEnd"/>
      <w:r w:rsidR="006046D7" w:rsidRPr="00BA681B">
        <w:t xml:space="preserve"> served as the </w:t>
      </w:r>
      <w:r w:rsidR="00C23490" w:rsidRPr="00BA681B">
        <w:t>r</w:t>
      </w:r>
      <w:r w:rsidR="006046D7" w:rsidRPr="00BA681B">
        <w:t xml:space="preserve">apporteur </w:t>
      </w:r>
      <w:r w:rsidR="00C23490" w:rsidRPr="00BA681B">
        <w:t>for</w:t>
      </w:r>
      <w:r w:rsidR="006046D7" w:rsidRPr="00BA681B">
        <w:t xml:space="preserve"> the </w:t>
      </w:r>
      <w:r w:rsidR="00C23490" w:rsidRPr="00BA681B">
        <w:t>d</w:t>
      </w:r>
      <w:r w:rsidR="006046D7" w:rsidRPr="00BA681B">
        <w:t>raft basic principles and guidelines.</w:t>
      </w:r>
    </w:p>
    <w:p w:rsidR="00C55FB3" w:rsidRPr="00174A88" w:rsidRDefault="0021743E" w:rsidP="0021743E">
      <w:pPr>
        <w:pStyle w:val="SingleTxtG"/>
      </w:pPr>
      <w:r w:rsidRPr="00174A88">
        <w:rPr>
          <w:lang w:val="en-US"/>
        </w:rPr>
        <w:t>9.</w:t>
      </w:r>
      <w:r w:rsidRPr="00174A88">
        <w:rPr>
          <w:lang w:val="en-US"/>
        </w:rPr>
        <w:tab/>
      </w:r>
      <w:r w:rsidR="00BB1938" w:rsidRPr="00174A88">
        <w:t>On 1 and 2 September 2014, the Working Group convened a global consultation</w:t>
      </w:r>
      <w:r w:rsidR="00555695">
        <w:t xml:space="preserve"> in Geneva</w:t>
      </w:r>
      <w:r w:rsidR="00BB1938" w:rsidRPr="00174A88">
        <w:t xml:space="preserve"> </w:t>
      </w:r>
      <w:r w:rsidR="008017AB" w:rsidRPr="00174A88">
        <w:t>to bring together thematic and regional experts to elaborate on the scope and content of the right to court review of detention</w:t>
      </w:r>
      <w:r w:rsidR="00555695">
        <w:t>,</w:t>
      </w:r>
      <w:r w:rsidR="008017AB" w:rsidRPr="00174A88">
        <w:t xml:space="preserve"> and </w:t>
      </w:r>
      <w:r w:rsidR="00555695">
        <w:t xml:space="preserve">to </w:t>
      </w:r>
      <w:r w:rsidR="008017AB" w:rsidRPr="00174A88">
        <w:t xml:space="preserve">allow stakeholders to contribute to the development of the draft </w:t>
      </w:r>
      <w:r w:rsidR="00013F90">
        <w:t xml:space="preserve">basic </w:t>
      </w:r>
      <w:r w:rsidR="008017AB" w:rsidRPr="00174A88">
        <w:t xml:space="preserve">principles and guidelines. </w:t>
      </w:r>
      <w:r w:rsidR="00C23490">
        <w:t>Fifteen</w:t>
      </w:r>
      <w:r w:rsidR="00BB1938" w:rsidRPr="00174A88">
        <w:t xml:space="preserve"> regional experts deliver</w:t>
      </w:r>
      <w:r w:rsidR="00555695">
        <w:t>ed</w:t>
      </w:r>
      <w:r w:rsidR="00BB1938" w:rsidRPr="00174A88">
        <w:t xml:space="preserve"> presentations. Government representatives</w:t>
      </w:r>
      <w:r w:rsidR="00C23490">
        <w:t>,</w:t>
      </w:r>
      <w:r w:rsidR="00BB1938" w:rsidRPr="00174A88">
        <w:t xml:space="preserve"> bodies and agencies</w:t>
      </w:r>
      <w:r w:rsidR="00C23490">
        <w:t xml:space="preserve"> of the United Nations system,</w:t>
      </w:r>
      <w:r w:rsidR="00BB1938" w:rsidRPr="00174A88">
        <w:t xml:space="preserve"> international and regional organizations, national human rights institutions</w:t>
      </w:r>
      <w:r w:rsidR="00C23490">
        <w:t>,</w:t>
      </w:r>
      <w:r w:rsidR="00BB1938" w:rsidRPr="00174A88">
        <w:t xml:space="preserve"> civil society organizations and academia participated actively in the event.</w:t>
      </w:r>
      <w:r w:rsidR="00D92A65" w:rsidRPr="00174A88">
        <w:t xml:space="preserve"> The Working Group used the outcome of the consultation to revise its preliminary version of the draft </w:t>
      </w:r>
      <w:r w:rsidR="00013F90">
        <w:t xml:space="preserve">basic </w:t>
      </w:r>
      <w:r w:rsidR="00D92A65" w:rsidRPr="00174A88">
        <w:t>principles and guidelines.</w:t>
      </w:r>
    </w:p>
    <w:p w:rsidR="00BB1938" w:rsidRPr="00174A88" w:rsidRDefault="0021743E" w:rsidP="0021743E">
      <w:pPr>
        <w:pStyle w:val="SingleTxtG"/>
      </w:pPr>
      <w:r w:rsidRPr="00174A88">
        <w:rPr>
          <w:lang w:val="en-US"/>
        </w:rPr>
        <w:t>10.</w:t>
      </w:r>
      <w:r w:rsidRPr="00174A88">
        <w:rPr>
          <w:lang w:val="en-US"/>
        </w:rPr>
        <w:tab/>
      </w:r>
      <w:r w:rsidR="0035243D">
        <w:t>T</w:t>
      </w:r>
      <w:r w:rsidR="00BB1938" w:rsidRPr="00174A88">
        <w:t xml:space="preserve">he Working Group </w:t>
      </w:r>
      <w:r w:rsidR="0035243D">
        <w:t>continued to update its</w:t>
      </w:r>
      <w:r w:rsidR="00BB1938" w:rsidRPr="00174A88">
        <w:t xml:space="preserve"> database </w:t>
      </w:r>
      <w:r w:rsidR="00555695">
        <w:t>(</w:t>
      </w:r>
      <w:r w:rsidR="0035243D" w:rsidRPr="004141C1">
        <w:t>www.unwgaddatabase.org</w:t>
      </w:r>
      <w:r w:rsidR="00555695">
        <w:t>)</w:t>
      </w:r>
      <w:r w:rsidR="0035243D">
        <w:t>, which was launched in 2011</w:t>
      </w:r>
      <w:r w:rsidR="00BB1938" w:rsidRPr="00174A88">
        <w:t xml:space="preserve"> </w:t>
      </w:r>
      <w:r w:rsidR="007B736E">
        <w:t>to facilitate free and public access to the</w:t>
      </w:r>
      <w:r w:rsidR="0025204A">
        <w:t xml:space="preserve"> Working Group’s</w:t>
      </w:r>
      <w:r w:rsidR="00BB1938" w:rsidRPr="00174A88">
        <w:t xml:space="preserve"> </w:t>
      </w:r>
      <w:r w:rsidR="0025204A">
        <w:t>o</w:t>
      </w:r>
      <w:r w:rsidR="00BB1938" w:rsidRPr="00174A88">
        <w:t xml:space="preserve">pinions on individual cases of detention. The database </w:t>
      </w:r>
      <w:r w:rsidR="0025204A">
        <w:t>contains</w:t>
      </w:r>
      <w:r w:rsidR="0025204A" w:rsidRPr="00174A88">
        <w:t xml:space="preserve"> </w:t>
      </w:r>
      <w:r w:rsidR="00BB1938" w:rsidRPr="00174A88">
        <w:t xml:space="preserve">over 600 </w:t>
      </w:r>
      <w:r w:rsidR="00AF4B7E">
        <w:t>o</w:t>
      </w:r>
      <w:r w:rsidR="00BB1938" w:rsidRPr="00174A88">
        <w:t>pinions</w:t>
      </w:r>
      <w:r w:rsidR="0025204A">
        <w:t>, available</w:t>
      </w:r>
      <w:r w:rsidR="00BB1938" w:rsidRPr="00174A88">
        <w:t xml:space="preserve"> in English, French and Spanish</w:t>
      </w:r>
      <w:r w:rsidR="0025204A">
        <w:t>,</w:t>
      </w:r>
      <w:r w:rsidR="00BB1938" w:rsidRPr="00174A88">
        <w:t xml:space="preserve"> that have been adopted since the establishment of the Working Group in 1991. The database </w:t>
      </w:r>
      <w:r w:rsidR="00686395">
        <w:t>serves as</w:t>
      </w:r>
      <w:r w:rsidR="00686395" w:rsidRPr="00174A88">
        <w:t xml:space="preserve"> </w:t>
      </w:r>
      <w:r w:rsidR="00BB1938" w:rsidRPr="00174A88">
        <w:t>a practical research tool for victims, lawyers, academics and others prepar</w:t>
      </w:r>
      <w:r w:rsidR="00A16B7A">
        <w:t>ing</w:t>
      </w:r>
      <w:r w:rsidR="00BB1938" w:rsidRPr="00174A88">
        <w:t xml:space="preserve"> cases</w:t>
      </w:r>
      <w:r w:rsidR="007B736E">
        <w:t xml:space="preserve"> for submission</w:t>
      </w:r>
      <w:r w:rsidR="00BB1938" w:rsidRPr="00174A88">
        <w:t xml:space="preserve"> to the Working Group.</w:t>
      </w:r>
    </w:p>
    <w:p w:rsidR="00C55FB3" w:rsidRPr="00174A88" w:rsidRDefault="0021743E" w:rsidP="0021743E">
      <w:pPr>
        <w:pStyle w:val="SingleTxtG"/>
      </w:pPr>
      <w:r w:rsidRPr="00174A88">
        <w:rPr>
          <w:lang w:val="en-US"/>
        </w:rPr>
        <w:t>11.</w:t>
      </w:r>
      <w:r w:rsidRPr="00174A88">
        <w:rPr>
          <w:lang w:val="en-US"/>
        </w:rPr>
        <w:tab/>
      </w:r>
      <w:r w:rsidR="00AA5294" w:rsidRPr="00174A88">
        <w:t xml:space="preserve">At its seventieth session the Working Group decided to establish a task force, composed of </w:t>
      </w:r>
      <w:r w:rsidR="00A00E2D">
        <w:t>Mr. </w:t>
      </w:r>
      <w:proofErr w:type="spellStart"/>
      <w:r w:rsidR="00AA5294" w:rsidRPr="00174A88">
        <w:t>Tochilovsky</w:t>
      </w:r>
      <w:proofErr w:type="spellEnd"/>
      <w:r w:rsidR="00AA5294" w:rsidRPr="00174A88">
        <w:t xml:space="preserve">, </w:t>
      </w:r>
      <w:r w:rsidR="00A00E2D">
        <w:t>Mr. </w:t>
      </w:r>
      <w:proofErr w:type="spellStart"/>
      <w:r w:rsidR="00AA5294" w:rsidRPr="00174A88">
        <w:t>Adjovi</w:t>
      </w:r>
      <w:proofErr w:type="spellEnd"/>
      <w:r w:rsidR="00AA5294" w:rsidRPr="00174A88">
        <w:t xml:space="preserve"> and </w:t>
      </w:r>
      <w:r w:rsidR="00CA45B2">
        <w:t>the</w:t>
      </w:r>
      <w:r w:rsidR="00CA45B2" w:rsidRPr="00174A88">
        <w:t xml:space="preserve"> </w:t>
      </w:r>
      <w:r w:rsidR="00CA45B2">
        <w:t>s</w:t>
      </w:r>
      <w:r w:rsidR="00AA5294" w:rsidRPr="00174A88">
        <w:t>ecretary</w:t>
      </w:r>
      <w:r w:rsidR="00CA45B2">
        <w:t xml:space="preserve"> of the Working Group</w:t>
      </w:r>
      <w:r w:rsidR="00AA5294" w:rsidRPr="00174A88">
        <w:t xml:space="preserve">, to work </w:t>
      </w:r>
      <w:proofErr w:type="spellStart"/>
      <w:r w:rsidR="00AA5294" w:rsidRPr="00174A88">
        <w:t>intersessionally</w:t>
      </w:r>
      <w:proofErr w:type="spellEnd"/>
      <w:r w:rsidR="00AA5294" w:rsidRPr="00174A88">
        <w:t xml:space="preserve"> </w:t>
      </w:r>
      <w:r w:rsidR="00CA45B2">
        <w:t>to put forward</w:t>
      </w:r>
      <w:r w:rsidR="00AA5294" w:rsidRPr="00174A88">
        <w:t xml:space="preserve"> suggestions for improvement</w:t>
      </w:r>
      <w:r w:rsidR="00CA45B2">
        <w:t>s to</w:t>
      </w:r>
      <w:r w:rsidR="00AA5294" w:rsidRPr="00174A88">
        <w:t xml:space="preserve"> the Working Group’s procedures and working methods.</w:t>
      </w:r>
      <w:r w:rsidR="00D92A65" w:rsidRPr="00174A88">
        <w:t xml:space="preserve"> </w:t>
      </w:r>
      <w:r w:rsidR="00D64871" w:rsidRPr="00174A88">
        <w:t xml:space="preserve">The task force identified </w:t>
      </w:r>
      <w:r w:rsidR="00CA45B2">
        <w:t>a</w:t>
      </w:r>
      <w:r w:rsidR="00CA45B2" w:rsidRPr="00174A88">
        <w:t xml:space="preserve"> </w:t>
      </w:r>
      <w:r w:rsidR="00D64871" w:rsidRPr="00174A88">
        <w:t xml:space="preserve">need </w:t>
      </w:r>
      <w:r w:rsidR="00CA45B2">
        <w:t>to</w:t>
      </w:r>
      <w:r w:rsidR="00CA45B2" w:rsidRPr="00174A88">
        <w:t xml:space="preserve"> </w:t>
      </w:r>
      <w:r w:rsidR="00D64871" w:rsidRPr="00174A88">
        <w:t>improve communication</w:t>
      </w:r>
      <w:r w:rsidR="00CA45B2">
        <w:t>, both</w:t>
      </w:r>
      <w:r w:rsidR="00D64871" w:rsidRPr="00174A88">
        <w:t xml:space="preserve"> between the Working Group and the parties involved as well</w:t>
      </w:r>
      <w:r w:rsidR="00CA45B2">
        <w:t xml:space="preserve"> as</w:t>
      </w:r>
      <w:r w:rsidR="00D64871" w:rsidRPr="00174A88">
        <w:t xml:space="preserve"> within the </w:t>
      </w:r>
      <w:r w:rsidR="00CA45B2">
        <w:t xml:space="preserve">Working </w:t>
      </w:r>
      <w:r w:rsidR="00D64871" w:rsidRPr="00174A88">
        <w:t>Group. In order to improve the transparency and availability of information, the Working Group establish</w:t>
      </w:r>
      <w:r w:rsidR="006B0B77">
        <w:t>ed</w:t>
      </w:r>
      <w:r w:rsidR="00D64871" w:rsidRPr="00174A88">
        <w:t xml:space="preserve"> an internal </w:t>
      </w:r>
      <w:r w:rsidR="00CA45B2">
        <w:t>e</w:t>
      </w:r>
      <w:r w:rsidR="00D64871" w:rsidRPr="00174A88">
        <w:t xml:space="preserve">xtranet page, </w:t>
      </w:r>
      <w:r w:rsidR="00D92A65" w:rsidRPr="00174A88">
        <w:t>in coordination with the Office of the United Nations High Commissioner for Human Rights</w:t>
      </w:r>
      <w:r w:rsidR="008B4434">
        <w:t xml:space="preserve"> (OHCHR)</w:t>
      </w:r>
      <w:r w:rsidR="00D92A65" w:rsidRPr="00174A88">
        <w:t>, an</w:t>
      </w:r>
      <w:r w:rsidR="00D64871" w:rsidRPr="00174A88">
        <w:t>d update</w:t>
      </w:r>
      <w:r w:rsidR="006B0B77">
        <w:t>d</w:t>
      </w:r>
      <w:r w:rsidR="00D64871" w:rsidRPr="00174A88">
        <w:t xml:space="preserve"> the Working Group’s </w:t>
      </w:r>
      <w:r w:rsidR="00CA45B2">
        <w:t xml:space="preserve">public </w:t>
      </w:r>
      <w:r w:rsidR="00D64871" w:rsidRPr="00174A88">
        <w:t xml:space="preserve">website. </w:t>
      </w:r>
      <w:r w:rsidR="00D92A65" w:rsidRPr="00174A88">
        <w:t>At its seventy-first session</w:t>
      </w:r>
      <w:r w:rsidR="00C55FB3" w:rsidRPr="00174A88">
        <w:t>,</w:t>
      </w:r>
      <w:r w:rsidR="00D92A65" w:rsidRPr="00174A88">
        <w:t xml:space="preserve"> the Working </w:t>
      </w:r>
      <w:r w:rsidR="009C7868" w:rsidRPr="00174A88">
        <w:t>Group</w:t>
      </w:r>
      <w:r w:rsidR="00D64871" w:rsidRPr="00174A88">
        <w:t xml:space="preserve"> </w:t>
      </w:r>
      <w:r w:rsidR="00D92A65" w:rsidRPr="00174A88">
        <w:t xml:space="preserve">decided to amend its standard questionnaire </w:t>
      </w:r>
      <w:r w:rsidR="00CA45B2">
        <w:t>for</w:t>
      </w:r>
      <w:r w:rsidR="00CA45B2" w:rsidRPr="00174A88">
        <w:t xml:space="preserve"> </w:t>
      </w:r>
      <w:r w:rsidR="00D92A65" w:rsidRPr="00174A88">
        <w:t>submit</w:t>
      </w:r>
      <w:r w:rsidR="007C4AF5">
        <w:t>ting</w:t>
      </w:r>
      <w:r w:rsidR="00D92A65" w:rsidRPr="00174A88">
        <w:t xml:space="preserve"> cases </w:t>
      </w:r>
      <w:r w:rsidR="007C4AF5">
        <w:t xml:space="preserve">in </w:t>
      </w:r>
      <w:r w:rsidR="00D92A65" w:rsidRPr="00174A88">
        <w:t>accord</w:t>
      </w:r>
      <w:r w:rsidR="007C4AF5">
        <w:t>ance with</w:t>
      </w:r>
      <w:r w:rsidR="00D92A65" w:rsidRPr="00174A88">
        <w:t xml:space="preserve"> the regular communications procedure</w:t>
      </w:r>
      <w:r w:rsidR="00C55FB3" w:rsidRPr="00174A88">
        <w:t>,</w:t>
      </w:r>
      <w:r w:rsidR="00D92A65" w:rsidRPr="00174A88">
        <w:t xml:space="preserve"> in order to include questions related to due process and fair trial.</w:t>
      </w:r>
      <w:r w:rsidR="00CE0EF5">
        <w:t xml:space="preserve"> </w:t>
      </w:r>
    </w:p>
    <w:p w:rsidR="00C55FB3" w:rsidRPr="00174A88" w:rsidRDefault="0021743E" w:rsidP="0021743E">
      <w:pPr>
        <w:pStyle w:val="SingleTxtG"/>
      </w:pPr>
      <w:r w:rsidRPr="00174A88">
        <w:rPr>
          <w:lang w:val="en-US"/>
        </w:rPr>
        <w:t>12.</w:t>
      </w:r>
      <w:r w:rsidRPr="00174A88">
        <w:rPr>
          <w:lang w:val="en-US"/>
        </w:rPr>
        <w:tab/>
      </w:r>
      <w:r w:rsidR="00D64871" w:rsidRPr="00174A88">
        <w:t>Mr.</w:t>
      </w:r>
      <w:r w:rsidR="008E01AA">
        <w:t> </w:t>
      </w:r>
      <w:proofErr w:type="spellStart"/>
      <w:r w:rsidR="00D64871" w:rsidRPr="00174A88">
        <w:t>Tochilovsky</w:t>
      </w:r>
      <w:proofErr w:type="spellEnd"/>
      <w:r w:rsidR="00D64871" w:rsidRPr="00174A88">
        <w:t xml:space="preserve"> represented the Working Group </w:t>
      </w:r>
      <w:r w:rsidR="007C4AF5">
        <w:t>at</w:t>
      </w:r>
      <w:r w:rsidR="00D64871" w:rsidRPr="00174A88">
        <w:t xml:space="preserve"> a conference </w:t>
      </w:r>
      <w:r w:rsidR="007C4AF5">
        <w:t>entitled</w:t>
      </w:r>
      <w:r w:rsidR="007C4AF5" w:rsidRPr="00174A88">
        <w:t xml:space="preserve"> </w:t>
      </w:r>
      <w:r w:rsidR="007C4AF5">
        <w:t>“</w:t>
      </w:r>
      <w:r w:rsidR="00D64871" w:rsidRPr="00174A88">
        <w:t xml:space="preserve">Challenges to </w:t>
      </w:r>
      <w:r w:rsidR="007C4AF5">
        <w:t>s</w:t>
      </w:r>
      <w:r w:rsidR="00D64871" w:rsidRPr="00174A88">
        <w:t xml:space="preserve">ecurity and </w:t>
      </w:r>
      <w:r w:rsidR="007C4AF5">
        <w:t>h</w:t>
      </w:r>
      <w:r w:rsidR="00D64871" w:rsidRPr="00174A88">
        <w:t xml:space="preserve">uman </w:t>
      </w:r>
      <w:r w:rsidR="007C4AF5">
        <w:t>r</w:t>
      </w:r>
      <w:r w:rsidR="00D64871" w:rsidRPr="00174A88">
        <w:t xml:space="preserve">ights in the Arab </w:t>
      </w:r>
      <w:r w:rsidR="007C4AF5">
        <w:t>r</w:t>
      </w:r>
      <w:r w:rsidR="00D64871" w:rsidRPr="00174A88">
        <w:t>egion</w:t>
      </w:r>
      <w:r w:rsidR="007C4AF5">
        <w:t>”,</w:t>
      </w:r>
      <w:r w:rsidR="00D64871" w:rsidRPr="00174A88">
        <w:t xml:space="preserve"> which took place in Doha on 5 and 6</w:t>
      </w:r>
      <w:r w:rsidR="00505A20">
        <w:t xml:space="preserve"> </w:t>
      </w:r>
      <w:r w:rsidR="00D64871" w:rsidRPr="00174A88">
        <w:t>November 2014.</w:t>
      </w:r>
      <w:r w:rsidR="00A00E2D">
        <w:t xml:space="preserve"> Mr. </w:t>
      </w:r>
      <w:r w:rsidR="00D64871" w:rsidRPr="00174A88">
        <w:t xml:space="preserve">Hong </w:t>
      </w:r>
      <w:r w:rsidR="00C55FB3" w:rsidRPr="00174A88">
        <w:t xml:space="preserve">represented the Working Group at an expert consultation on the administration of justice through military </w:t>
      </w:r>
      <w:r w:rsidR="009C7868" w:rsidRPr="00174A88">
        <w:t>tribunals</w:t>
      </w:r>
      <w:r w:rsidR="007C4AF5">
        <w:t>,</w:t>
      </w:r>
      <w:r w:rsidR="009C7868" w:rsidRPr="00174A88">
        <w:t xml:space="preserve"> </w:t>
      </w:r>
      <w:r w:rsidR="00EB2049">
        <w:t>held</w:t>
      </w:r>
      <w:r w:rsidR="00C55FB3" w:rsidRPr="00174A88">
        <w:t xml:space="preserve"> in Geneva on 24 November 2014. </w:t>
      </w:r>
    </w:p>
    <w:p w:rsidR="00BB1938" w:rsidRPr="006A5ACA" w:rsidRDefault="00BB1938" w:rsidP="00C71C14">
      <w:pPr>
        <w:pStyle w:val="H1G"/>
      </w:pPr>
      <w:r w:rsidRPr="00177C81">
        <w:rPr>
          <w:color w:val="FF0000"/>
        </w:rPr>
        <w:tab/>
      </w:r>
      <w:r w:rsidRPr="006A5ACA">
        <w:t>A.</w:t>
      </w:r>
      <w:r w:rsidRPr="006A5ACA">
        <w:tab/>
        <w:t>Handling of communications addressed to the Working Group during</w:t>
      </w:r>
      <w:r w:rsidR="00C71C14">
        <w:t> </w:t>
      </w:r>
      <w:r w:rsidRPr="006A5ACA">
        <w:t>201</w:t>
      </w:r>
      <w:r w:rsidR="008970B1" w:rsidRPr="006A5ACA">
        <w:t>4</w:t>
      </w:r>
    </w:p>
    <w:p w:rsidR="00BB1938" w:rsidRPr="006A5ACA" w:rsidRDefault="00BB1938" w:rsidP="006A5ACA">
      <w:pPr>
        <w:pStyle w:val="H23G"/>
      </w:pPr>
      <w:r w:rsidRPr="006A5ACA">
        <w:tab/>
        <w:t>1.</w:t>
      </w:r>
      <w:r w:rsidRPr="006A5ACA">
        <w:tab/>
        <w:t>Communications transmitted to Governments</w:t>
      </w:r>
    </w:p>
    <w:p w:rsidR="00BB1938" w:rsidRPr="00174A88" w:rsidRDefault="0021743E" w:rsidP="0021743E">
      <w:pPr>
        <w:pStyle w:val="SingleTxtG"/>
      </w:pPr>
      <w:r w:rsidRPr="00174A88">
        <w:rPr>
          <w:lang w:val="en-US"/>
        </w:rPr>
        <w:t>13.</w:t>
      </w:r>
      <w:r w:rsidRPr="00174A88">
        <w:rPr>
          <w:lang w:val="en-US"/>
        </w:rPr>
        <w:tab/>
      </w:r>
      <w:r w:rsidR="00EB2049">
        <w:t>At</w:t>
      </w:r>
      <w:r w:rsidR="00EB2049" w:rsidRPr="00174A88">
        <w:t xml:space="preserve"> </w:t>
      </w:r>
      <w:r w:rsidR="00BB1938" w:rsidRPr="00174A88">
        <w:t xml:space="preserve">its sixty-ninth, seventieth and seventy-first sessions, the Working Group adopted </w:t>
      </w:r>
      <w:r w:rsidR="00EB2049">
        <w:t xml:space="preserve">a total of </w:t>
      </w:r>
      <w:r w:rsidR="0008199F" w:rsidRPr="00174A88">
        <w:t>57</w:t>
      </w:r>
      <w:r w:rsidR="00BB1938" w:rsidRPr="00174A88">
        <w:t xml:space="preserve"> </w:t>
      </w:r>
      <w:r w:rsidR="0035243D">
        <w:t>o</w:t>
      </w:r>
      <w:r w:rsidR="00BB1938" w:rsidRPr="00174A88">
        <w:t xml:space="preserve">pinions concerning </w:t>
      </w:r>
      <w:r w:rsidR="005B7E34" w:rsidRPr="00174A88">
        <w:t xml:space="preserve">more than 422 </w:t>
      </w:r>
      <w:r w:rsidR="00BB1938" w:rsidRPr="00174A88">
        <w:t xml:space="preserve">persons in </w:t>
      </w:r>
      <w:r w:rsidR="00C40CF7" w:rsidRPr="00174A88">
        <w:t>30</w:t>
      </w:r>
      <w:r w:rsidR="00BB1938" w:rsidRPr="00174A88">
        <w:t xml:space="preserve"> countries</w:t>
      </w:r>
      <w:r w:rsidR="000C1E2A">
        <w:t xml:space="preserve"> (see the table below)</w:t>
      </w:r>
      <w:r w:rsidR="00BB1938" w:rsidRPr="00174A88">
        <w:t xml:space="preserve">. </w:t>
      </w:r>
    </w:p>
    <w:p w:rsidR="00BB1938" w:rsidRPr="006A5ACA" w:rsidRDefault="00BB1938" w:rsidP="006A5ACA">
      <w:pPr>
        <w:pStyle w:val="H23G"/>
      </w:pPr>
      <w:r w:rsidRPr="006A5ACA">
        <w:tab/>
        <w:t>2.</w:t>
      </w:r>
      <w:r w:rsidRPr="006A5ACA">
        <w:tab/>
        <w:t>Opinions of the Working Group</w:t>
      </w:r>
    </w:p>
    <w:p w:rsidR="00BB1938" w:rsidRPr="00174A88" w:rsidRDefault="0021743E" w:rsidP="0021743E">
      <w:pPr>
        <w:pStyle w:val="SingleTxtG"/>
      </w:pPr>
      <w:r w:rsidRPr="00174A88">
        <w:rPr>
          <w:lang w:val="en-US"/>
        </w:rPr>
        <w:t>14.</w:t>
      </w:r>
      <w:r w:rsidRPr="00174A88">
        <w:rPr>
          <w:lang w:val="en-US"/>
        </w:rPr>
        <w:tab/>
      </w:r>
      <w:r w:rsidR="00BB1938" w:rsidRPr="00174A88">
        <w:t xml:space="preserve">Pursuant to its </w:t>
      </w:r>
      <w:r w:rsidR="006C7B6B">
        <w:t>m</w:t>
      </w:r>
      <w:r w:rsidR="00BB1938" w:rsidRPr="00174A88">
        <w:t xml:space="preserve">ethods of </w:t>
      </w:r>
      <w:r w:rsidR="006C7B6B">
        <w:t>w</w:t>
      </w:r>
      <w:r w:rsidR="00BB1938" w:rsidRPr="00174A88">
        <w:t>ork (A/HRC/16/47, annex</w:t>
      </w:r>
      <w:r w:rsidR="006C7B6B">
        <w:t>, and Corr.1</w:t>
      </w:r>
      <w:r w:rsidR="00BB1938" w:rsidRPr="00174A88">
        <w:t xml:space="preserve">), the Working Group, in addressing its </w:t>
      </w:r>
      <w:r w:rsidR="006C7B6B">
        <w:t>o</w:t>
      </w:r>
      <w:r w:rsidR="00BB1938" w:rsidRPr="00174A88">
        <w:t xml:space="preserve">pinions to Governments, drew their attention to </w:t>
      </w:r>
      <w:r w:rsidR="007F2621" w:rsidRPr="007F2621">
        <w:t>Commission on Human Rights</w:t>
      </w:r>
      <w:r w:rsidR="007F2621">
        <w:t xml:space="preserve"> </w:t>
      </w:r>
      <w:r w:rsidR="00BB1938" w:rsidRPr="00174A88">
        <w:t xml:space="preserve">resolutions 1997/50 and 2003/31 and </w:t>
      </w:r>
      <w:r w:rsidR="007F2621">
        <w:t xml:space="preserve">Human Rights Council </w:t>
      </w:r>
      <w:r w:rsidR="00BB1938" w:rsidRPr="00174A88">
        <w:t xml:space="preserve">resolutions 6/4 and 24/7, requesting them to take account of the Working Group’s </w:t>
      </w:r>
      <w:r w:rsidR="00EB2049">
        <w:t>o</w:t>
      </w:r>
      <w:r w:rsidR="00BB1938" w:rsidRPr="00174A88">
        <w:t xml:space="preserve">pinions and, where necessary, to take appropriate steps to remedy the situation of persons arbitrarily deprived of their liberty and to inform the Working Group of the steps they had taken. On the expiry of </w:t>
      </w:r>
      <w:r w:rsidR="00ED73ED">
        <w:t>a</w:t>
      </w:r>
      <w:r w:rsidR="00ED73ED" w:rsidRPr="00174A88">
        <w:t xml:space="preserve"> </w:t>
      </w:r>
      <w:r w:rsidR="00BB1938" w:rsidRPr="00174A88">
        <w:t xml:space="preserve">two-week deadline, the </w:t>
      </w:r>
      <w:r w:rsidR="00ED73ED">
        <w:t>o</w:t>
      </w:r>
      <w:r w:rsidR="00BB1938" w:rsidRPr="00174A88">
        <w:t xml:space="preserve">pinions were transmitted to the </w:t>
      </w:r>
      <w:r w:rsidR="00ED73ED">
        <w:t xml:space="preserve">relevant </w:t>
      </w:r>
      <w:r w:rsidR="00BB1938" w:rsidRPr="00174A88">
        <w:t>source</w:t>
      </w:r>
      <w:r w:rsidR="00ED73ED">
        <w:t>s</w:t>
      </w:r>
      <w:r w:rsidR="00BB1938" w:rsidRPr="00174A88">
        <w:t>.</w:t>
      </w:r>
    </w:p>
    <w:p w:rsidR="00215F2E" w:rsidRPr="00357AE5" w:rsidRDefault="00215F2E" w:rsidP="004D08B1">
      <w:pPr>
        <w:pStyle w:val="H23G"/>
        <w:tabs>
          <w:tab w:val="left" w:pos="8505"/>
        </w:tabs>
      </w:pPr>
      <w:r w:rsidRPr="00177C81">
        <w:rPr>
          <w:sz w:val="24"/>
          <w:szCs w:val="24"/>
        </w:rPr>
        <w:tab/>
      </w:r>
      <w:r w:rsidRPr="00177C81">
        <w:rPr>
          <w:sz w:val="24"/>
          <w:szCs w:val="24"/>
        </w:rPr>
        <w:tab/>
      </w:r>
      <w:r w:rsidRPr="00357AE5">
        <w:t xml:space="preserve">Opinions adopted </w:t>
      </w:r>
      <w:r w:rsidR="004D08B1">
        <w:t>at</w:t>
      </w:r>
      <w:r w:rsidR="004D08B1" w:rsidRPr="00357AE5">
        <w:t xml:space="preserve"> </w:t>
      </w:r>
      <w:r w:rsidRPr="00357AE5">
        <w:t>the sixty-</w:t>
      </w:r>
      <w:r w:rsidR="001603B4" w:rsidRPr="00357AE5">
        <w:t>ninth</w:t>
      </w:r>
      <w:r w:rsidRPr="00357AE5">
        <w:t xml:space="preserve">, </w:t>
      </w:r>
      <w:r w:rsidR="00B124C8" w:rsidRPr="00357AE5">
        <w:t>sevent</w:t>
      </w:r>
      <w:r w:rsidR="001603B4" w:rsidRPr="00357AE5">
        <w:t>ieth and seven</w:t>
      </w:r>
      <w:r w:rsidR="00B03997" w:rsidRPr="00357AE5">
        <w:t>t</w:t>
      </w:r>
      <w:r w:rsidR="001603B4" w:rsidRPr="00357AE5">
        <w:t>y-first</w:t>
      </w:r>
      <w:r w:rsidRPr="00357AE5">
        <w:t xml:space="preserve"> sessions </w:t>
      </w:r>
      <w:r w:rsidR="007F12EC">
        <w:br/>
      </w:r>
      <w:r w:rsidRPr="00357AE5">
        <w:t>of the Working Group</w:t>
      </w:r>
    </w:p>
    <w:tbl>
      <w:tblPr>
        <w:tblW w:w="0" w:type="auto"/>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64"/>
        <w:gridCol w:w="1247"/>
        <w:gridCol w:w="1418"/>
        <w:gridCol w:w="3005"/>
        <w:gridCol w:w="1871"/>
      </w:tblGrid>
      <w:tr w:rsidR="006470C9" w:rsidRPr="007F12EC" w:rsidTr="002B6C29">
        <w:trPr>
          <w:cantSplit/>
          <w:trHeight w:val="381"/>
          <w:tblHeader/>
        </w:trPr>
        <w:tc>
          <w:tcPr>
            <w:tcW w:w="964" w:type="dxa"/>
            <w:tcBorders>
              <w:top w:val="single" w:sz="4" w:space="0" w:color="auto"/>
              <w:bottom w:val="single" w:sz="12" w:space="0" w:color="auto"/>
            </w:tcBorders>
            <w:shd w:val="clear" w:color="auto" w:fill="auto"/>
            <w:vAlign w:val="bottom"/>
          </w:tcPr>
          <w:p w:rsidR="00F17733" w:rsidRPr="007F12EC" w:rsidRDefault="00F17733" w:rsidP="00BF4AF9">
            <w:pPr>
              <w:pStyle w:val="SingleTxtG"/>
              <w:suppressAutoHyphens w:val="0"/>
              <w:spacing w:before="80" w:after="80" w:line="200" w:lineRule="exact"/>
              <w:ind w:left="0" w:right="0"/>
              <w:jc w:val="left"/>
              <w:rPr>
                <w:i/>
                <w:sz w:val="16"/>
              </w:rPr>
            </w:pPr>
            <w:r w:rsidRPr="007F12EC">
              <w:rPr>
                <w:i/>
                <w:sz w:val="16"/>
              </w:rPr>
              <w:t>Opinion No.</w:t>
            </w:r>
          </w:p>
        </w:tc>
        <w:tc>
          <w:tcPr>
            <w:tcW w:w="1247" w:type="dxa"/>
            <w:tcBorders>
              <w:top w:val="single" w:sz="4" w:space="0" w:color="auto"/>
              <w:bottom w:val="single" w:sz="12" w:space="0" w:color="auto"/>
            </w:tcBorders>
            <w:shd w:val="clear" w:color="auto" w:fill="auto"/>
            <w:vAlign w:val="bottom"/>
          </w:tcPr>
          <w:p w:rsidR="00F17733" w:rsidRPr="007F12EC" w:rsidRDefault="00334176" w:rsidP="00BF4AF9">
            <w:pPr>
              <w:pStyle w:val="SingleTxtG"/>
              <w:suppressAutoHyphens w:val="0"/>
              <w:spacing w:before="80" w:after="80" w:line="200" w:lineRule="exact"/>
              <w:ind w:left="0" w:right="0"/>
              <w:jc w:val="left"/>
              <w:rPr>
                <w:i/>
                <w:sz w:val="16"/>
              </w:rPr>
            </w:pPr>
            <w:r w:rsidRPr="00A16B7A">
              <w:rPr>
                <w:i/>
                <w:sz w:val="16"/>
              </w:rPr>
              <w:t>State</w:t>
            </w:r>
          </w:p>
        </w:tc>
        <w:tc>
          <w:tcPr>
            <w:tcW w:w="1418" w:type="dxa"/>
            <w:tcBorders>
              <w:top w:val="single" w:sz="4" w:space="0" w:color="auto"/>
              <w:bottom w:val="single" w:sz="12" w:space="0" w:color="auto"/>
            </w:tcBorders>
            <w:shd w:val="clear" w:color="auto" w:fill="auto"/>
            <w:vAlign w:val="bottom"/>
          </w:tcPr>
          <w:p w:rsidR="00F17733" w:rsidRPr="007F12EC" w:rsidRDefault="00F17733" w:rsidP="00BF4AF9">
            <w:pPr>
              <w:pStyle w:val="SingleTxtG"/>
              <w:suppressAutoHyphens w:val="0"/>
              <w:spacing w:before="80" w:after="80" w:line="200" w:lineRule="exact"/>
              <w:ind w:left="0" w:right="0"/>
              <w:jc w:val="left"/>
              <w:rPr>
                <w:i/>
                <w:sz w:val="16"/>
              </w:rPr>
            </w:pPr>
            <w:r w:rsidRPr="007F12EC">
              <w:rPr>
                <w:i/>
                <w:sz w:val="16"/>
              </w:rPr>
              <w:t>Government reply</w:t>
            </w:r>
          </w:p>
        </w:tc>
        <w:tc>
          <w:tcPr>
            <w:tcW w:w="3005" w:type="dxa"/>
            <w:tcBorders>
              <w:top w:val="single" w:sz="4" w:space="0" w:color="auto"/>
              <w:bottom w:val="single" w:sz="12" w:space="0" w:color="auto"/>
            </w:tcBorders>
            <w:shd w:val="clear" w:color="auto" w:fill="auto"/>
            <w:vAlign w:val="bottom"/>
          </w:tcPr>
          <w:p w:rsidR="00F17733" w:rsidRPr="007F12EC" w:rsidRDefault="00F17733" w:rsidP="00BF4AF9">
            <w:pPr>
              <w:pStyle w:val="SingleTxtG"/>
              <w:suppressAutoHyphens w:val="0"/>
              <w:spacing w:before="80" w:after="80" w:line="200" w:lineRule="exact"/>
              <w:ind w:left="0" w:right="0"/>
              <w:jc w:val="left"/>
              <w:rPr>
                <w:i/>
                <w:sz w:val="16"/>
              </w:rPr>
            </w:pPr>
            <w:r w:rsidRPr="007F12EC">
              <w:rPr>
                <w:i/>
                <w:sz w:val="16"/>
              </w:rPr>
              <w:t>Person(s) concerned</w:t>
            </w:r>
          </w:p>
        </w:tc>
        <w:tc>
          <w:tcPr>
            <w:tcW w:w="1871" w:type="dxa"/>
            <w:tcBorders>
              <w:top w:val="single" w:sz="4" w:space="0" w:color="auto"/>
              <w:bottom w:val="single" w:sz="12" w:space="0" w:color="auto"/>
            </w:tcBorders>
            <w:shd w:val="clear" w:color="auto" w:fill="auto"/>
            <w:vAlign w:val="bottom"/>
          </w:tcPr>
          <w:p w:rsidR="00F17733" w:rsidRPr="007F12EC" w:rsidRDefault="00F17733" w:rsidP="00BF4AF9">
            <w:pPr>
              <w:pStyle w:val="SingleTxtG"/>
              <w:suppressAutoHyphens w:val="0"/>
              <w:spacing w:before="80" w:after="80" w:line="200" w:lineRule="exact"/>
              <w:ind w:left="0" w:right="0"/>
              <w:jc w:val="left"/>
              <w:rPr>
                <w:i/>
                <w:sz w:val="16"/>
              </w:rPr>
            </w:pPr>
            <w:r w:rsidRPr="007F12EC">
              <w:rPr>
                <w:i/>
                <w:sz w:val="16"/>
              </w:rPr>
              <w:t>Opinion</w:t>
            </w:r>
          </w:p>
        </w:tc>
      </w:tr>
      <w:tr w:rsidR="002B6C29" w:rsidRPr="007F12EC" w:rsidTr="002B6C29">
        <w:trPr>
          <w:cantSplit/>
          <w:trHeight w:hRule="exact" w:val="113"/>
          <w:tblHeader/>
        </w:trPr>
        <w:tc>
          <w:tcPr>
            <w:tcW w:w="964" w:type="dxa"/>
            <w:tcBorders>
              <w:top w:val="single" w:sz="12" w:space="0" w:color="auto"/>
            </w:tcBorders>
            <w:shd w:val="clear" w:color="auto" w:fill="auto"/>
          </w:tcPr>
          <w:p w:rsidR="00F17733" w:rsidRPr="007F12EC" w:rsidRDefault="00F17733" w:rsidP="00BF4AF9">
            <w:pPr>
              <w:pStyle w:val="SingleTxtG"/>
              <w:suppressAutoHyphens w:val="0"/>
              <w:spacing w:before="40" w:line="220" w:lineRule="exact"/>
              <w:ind w:left="0" w:right="0"/>
              <w:jc w:val="left"/>
            </w:pPr>
          </w:p>
        </w:tc>
        <w:tc>
          <w:tcPr>
            <w:tcW w:w="1247" w:type="dxa"/>
            <w:tcBorders>
              <w:top w:val="single" w:sz="12" w:space="0" w:color="auto"/>
            </w:tcBorders>
            <w:shd w:val="clear" w:color="auto" w:fill="auto"/>
          </w:tcPr>
          <w:p w:rsidR="00F17733" w:rsidRPr="007F12EC" w:rsidRDefault="00F17733" w:rsidP="00BF4AF9">
            <w:pPr>
              <w:pStyle w:val="SingleTxtG"/>
              <w:suppressAutoHyphens w:val="0"/>
              <w:spacing w:before="40" w:line="220" w:lineRule="exact"/>
              <w:ind w:left="0" w:right="0"/>
              <w:jc w:val="left"/>
            </w:pPr>
          </w:p>
        </w:tc>
        <w:tc>
          <w:tcPr>
            <w:tcW w:w="1418" w:type="dxa"/>
            <w:tcBorders>
              <w:top w:val="single" w:sz="12" w:space="0" w:color="auto"/>
            </w:tcBorders>
            <w:shd w:val="clear" w:color="auto" w:fill="auto"/>
          </w:tcPr>
          <w:p w:rsidR="00F17733" w:rsidRPr="007F12EC" w:rsidRDefault="00F17733" w:rsidP="00BF4AF9">
            <w:pPr>
              <w:pStyle w:val="SingleTxtG"/>
              <w:suppressAutoHyphens w:val="0"/>
              <w:spacing w:before="40" w:line="220" w:lineRule="exact"/>
              <w:ind w:left="0" w:right="0"/>
              <w:jc w:val="left"/>
            </w:pPr>
          </w:p>
        </w:tc>
        <w:tc>
          <w:tcPr>
            <w:tcW w:w="3005" w:type="dxa"/>
            <w:tcBorders>
              <w:top w:val="single" w:sz="12" w:space="0" w:color="auto"/>
            </w:tcBorders>
            <w:shd w:val="clear" w:color="auto" w:fill="auto"/>
          </w:tcPr>
          <w:p w:rsidR="00F17733" w:rsidRPr="007F12EC" w:rsidRDefault="00F17733" w:rsidP="00BF4AF9">
            <w:pPr>
              <w:pStyle w:val="SingleTxtG"/>
              <w:suppressAutoHyphens w:val="0"/>
              <w:spacing w:before="40" w:line="220" w:lineRule="exact"/>
              <w:ind w:left="0" w:right="0"/>
              <w:jc w:val="left"/>
            </w:pPr>
          </w:p>
        </w:tc>
        <w:tc>
          <w:tcPr>
            <w:tcW w:w="1871" w:type="dxa"/>
            <w:tcBorders>
              <w:top w:val="single" w:sz="12" w:space="0" w:color="auto"/>
            </w:tcBorders>
            <w:shd w:val="clear" w:color="auto" w:fill="auto"/>
          </w:tcPr>
          <w:p w:rsidR="00F17733" w:rsidRPr="007F12EC" w:rsidRDefault="00F17733" w:rsidP="00BF4AF9">
            <w:pPr>
              <w:pStyle w:val="SingleTxtG"/>
              <w:suppressAutoHyphens w:val="0"/>
              <w:spacing w:before="40" w:line="220" w:lineRule="exact"/>
              <w:ind w:left="0" w:right="0"/>
              <w:jc w:val="left"/>
            </w:pP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1/2014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Bahrain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Tagi</w:t>
            </w:r>
            <w:proofErr w:type="spellEnd"/>
            <w:r w:rsidRPr="007F12EC">
              <w:rPr>
                <w:szCs w:val="18"/>
              </w:rPr>
              <w:t xml:space="preserve"> Al-</w:t>
            </w:r>
            <w:proofErr w:type="spellStart"/>
            <w:r w:rsidRPr="007F12EC">
              <w:rPr>
                <w:szCs w:val="18"/>
              </w:rPr>
              <w:t>Maidan</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 category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2/2014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China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Chen </w:t>
            </w:r>
            <w:proofErr w:type="spellStart"/>
            <w:r w:rsidRPr="007F12EC">
              <w:rPr>
                <w:szCs w:val="18"/>
              </w:rPr>
              <w:t>Kegui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III</w:t>
            </w:r>
          </w:p>
        </w:tc>
      </w:tr>
      <w:tr w:rsidR="00F17733" w:rsidRPr="007F12EC" w:rsidTr="002B6C29">
        <w:trPr>
          <w:cantSplit/>
          <w:trHeight w:val="519"/>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3/2014 </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China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Ilham</w:t>
            </w:r>
            <w:proofErr w:type="spellEnd"/>
            <w:r w:rsidRPr="007F12EC">
              <w:rPr>
                <w:szCs w:val="18"/>
              </w:rPr>
              <w:t xml:space="preserve"> Tohti</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 categories II and</w:t>
            </w:r>
            <w:r w:rsidR="00CE0EF5" w:rsidRPr="007F12EC">
              <w:rPr>
                <w:szCs w:val="18"/>
              </w:rPr>
              <w:t xml:space="preserve"> </w:t>
            </w:r>
            <w:r w:rsidRPr="007F12EC">
              <w:rPr>
                <w:szCs w:val="18"/>
              </w:rPr>
              <w:t>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4/2014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China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Ma </w:t>
            </w:r>
            <w:proofErr w:type="spellStart"/>
            <w:r w:rsidRPr="007F12EC">
              <w:rPr>
                <w:szCs w:val="18"/>
              </w:rPr>
              <w:t>Chunling</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w:t>
            </w:r>
            <w:r w:rsidRPr="007F12EC">
              <w:rPr>
                <w:szCs w:val="18"/>
              </w:rPr>
              <w:br/>
              <w:t>categories II and V</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5/2014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Iraq</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Shawqi</w:t>
            </w:r>
            <w:proofErr w:type="spellEnd"/>
            <w:r w:rsidRPr="007F12EC">
              <w:rPr>
                <w:szCs w:val="18"/>
              </w:rPr>
              <w:t xml:space="preserve"> Ahmad Omar</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w:t>
            </w:r>
            <w:r w:rsidRPr="007F12EC">
              <w:rPr>
                <w:szCs w:val="18"/>
              </w:rPr>
              <w:br/>
              <w:t>category II</w:t>
            </w:r>
            <w:r w:rsidR="00236085" w:rsidRPr="007F12EC">
              <w:rPr>
                <w:szCs w:val="18"/>
              </w:rPr>
              <w:t>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6/2014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Myanmar</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Brang</w:t>
            </w:r>
            <w:proofErr w:type="spellEnd"/>
            <w:r w:rsidRPr="007F12EC">
              <w:rPr>
                <w:szCs w:val="18"/>
              </w:rPr>
              <w:t xml:space="preserve"> Yung</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III and V</w:t>
            </w:r>
          </w:p>
        </w:tc>
      </w:tr>
      <w:tr w:rsidR="00F17733" w:rsidRPr="007F12EC" w:rsidTr="002B6C29">
        <w:trPr>
          <w:cantSplit/>
          <w:trHeight w:val="816"/>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7/2014</w:t>
            </w:r>
          </w:p>
        </w:tc>
        <w:tc>
          <w:tcPr>
            <w:tcW w:w="1247" w:type="dxa"/>
            <w:shd w:val="clear" w:color="auto" w:fill="auto"/>
          </w:tcPr>
          <w:p w:rsidR="00F17733" w:rsidRPr="007F12EC" w:rsidRDefault="00F17733" w:rsidP="00275393">
            <w:pPr>
              <w:pStyle w:val="SingleTxtG"/>
              <w:suppressAutoHyphens w:val="0"/>
              <w:spacing w:before="40" w:line="220" w:lineRule="exact"/>
              <w:ind w:left="0" w:right="0"/>
              <w:jc w:val="left"/>
              <w:rPr>
                <w:szCs w:val="18"/>
              </w:rPr>
            </w:pPr>
            <w:proofErr w:type="spellStart"/>
            <w:r w:rsidRPr="007F12EC">
              <w:rPr>
                <w:szCs w:val="18"/>
              </w:rPr>
              <w:t>Plurinational</w:t>
            </w:r>
            <w:proofErr w:type="spellEnd"/>
            <w:r w:rsidRPr="007F12EC">
              <w:rPr>
                <w:szCs w:val="18"/>
              </w:rPr>
              <w:t xml:space="preserve"> State of</w:t>
            </w:r>
            <w:r w:rsidR="00B948AA" w:rsidRPr="007F12EC">
              <w:rPr>
                <w:szCs w:val="18"/>
              </w:rPr>
              <w:t xml:space="preserve"> Bolivia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Jacob </w:t>
            </w:r>
            <w:proofErr w:type="spellStart"/>
            <w:r w:rsidRPr="007F12EC">
              <w:rPr>
                <w:szCs w:val="18"/>
              </w:rPr>
              <w:t>Ostreicher</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Case filed</w:t>
            </w:r>
            <w:r w:rsidR="00236085" w:rsidRPr="007F12EC">
              <w:rPr>
                <w:szCs w:val="18"/>
              </w:rPr>
              <w:t xml:space="preserve"> </w:t>
            </w:r>
            <w:r w:rsidR="00BF4AF9">
              <w:rPr>
                <w:szCs w:val="18"/>
              </w:rPr>
              <w:br/>
            </w:r>
            <w:r w:rsidR="00236085" w:rsidRPr="007F12EC">
              <w:rPr>
                <w:szCs w:val="18"/>
              </w:rPr>
              <w:t>(person released)</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8/2014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China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Xing </w:t>
            </w:r>
            <w:proofErr w:type="spellStart"/>
            <w:r w:rsidRPr="007F12EC">
              <w:rPr>
                <w:szCs w:val="18"/>
              </w:rPr>
              <w:t>Shiku</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w:t>
            </w:r>
            <w:r w:rsidRPr="007F12EC">
              <w:rPr>
                <w:szCs w:val="18"/>
              </w:rPr>
              <w:br/>
              <w:t>categories I and 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9/2014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Cuba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Iván</w:t>
            </w:r>
            <w:proofErr w:type="spellEnd"/>
            <w:r w:rsidRPr="007F12EC">
              <w:rPr>
                <w:szCs w:val="18"/>
              </w:rPr>
              <w:t xml:space="preserve"> </w:t>
            </w:r>
            <w:proofErr w:type="spellStart"/>
            <w:r w:rsidRPr="007F12EC">
              <w:rPr>
                <w:szCs w:val="18"/>
              </w:rPr>
              <w:t>Fernández</w:t>
            </w:r>
            <w:proofErr w:type="spellEnd"/>
            <w:r w:rsidRPr="007F12EC">
              <w:rPr>
                <w:szCs w:val="18"/>
              </w:rPr>
              <w:t xml:space="preserve"> </w:t>
            </w:r>
            <w:proofErr w:type="spellStart"/>
            <w:r w:rsidRPr="007F12EC">
              <w:rPr>
                <w:szCs w:val="18"/>
              </w:rPr>
              <w:t>Depestre</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10/2014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Egypt</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en-US"/>
              </w:rPr>
            </w:pPr>
            <w:r w:rsidRPr="007F12EC">
              <w:rPr>
                <w:szCs w:val="18"/>
                <w:lang w:val="en-US"/>
              </w:rPr>
              <w:t xml:space="preserve">Mohamed Essayed Ali </w:t>
            </w:r>
            <w:proofErr w:type="spellStart"/>
            <w:r w:rsidRPr="007F12EC">
              <w:rPr>
                <w:szCs w:val="18"/>
                <w:lang w:val="en-US"/>
              </w:rPr>
              <w:t>Rasslan</w:t>
            </w:r>
            <w:proofErr w:type="spellEnd"/>
            <w:r w:rsidRPr="007F12EC">
              <w:rPr>
                <w:szCs w:val="18"/>
                <w:lang w:val="en-US"/>
              </w:rPr>
              <w:t xml:space="preserve">, Mohamed </w:t>
            </w:r>
            <w:proofErr w:type="spellStart"/>
            <w:r w:rsidRPr="007F12EC">
              <w:rPr>
                <w:szCs w:val="18"/>
                <w:lang w:val="en-US"/>
              </w:rPr>
              <w:t>Mohamed</w:t>
            </w:r>
            <w:proofErr w:type="spellEnd"/>
            <w:r w:rsidRPr="007F12EC">
              <w:rPr>
                <w:szCs w:val="18"/>
                <w:lang w:val="en-US"/>
              </w:rPr>
              <w:t xml:space="preserve"> </w:t>
            </w:r>
            <w:proofErr w:type="spellStart"/>
            <w:r w:rsidRPr="007F12EC">
              <w:rPr>
                <w:szCs w:val="18"/>
                <w:lang w:val="en-US"/>
              </w:rPr>
              <w:t>Abdo</w:t>
            </w:r>
            <w:proofErr w:type="spellEnd"/>
            <w:r w:rsidRPr="007F12EC">
              <w:rPr>
                <w:szCs w:val="18"/>
                <w:lang w:val="en-US"/>
              </w:rPr>
              <w:t xml:space="preserve"> Abdullah, Ahmed Hussein Ali, Ahmed Mohamed </w:t>
            </w:r>
            <w:proofErr w:type="spellStart"/>
            <w:r w:rsidRPr="007F12EC">
              <w:rPr>
                <w:szCs w:val="18"/>
                <w:lang w:val="en-US"/>
              </w:rPr>
              <w:t>Tohamy</w:t>
            </w:r>
            <w:proofErr w:type="spellEnd"/>
            <w:r w:rsidRPr="007F12EC">
              <w:rPr>
                <w:szCs w:val="18"/>
                <w:lang w:val="en-US"/>
              </w:rPr>
              <w:t xml:space="preserve"> </w:t>
            </w:r>
            <w:proofErr w:type="spellStart"/>
            <w:r w:rsidRPr="007F12EC">
              <w:rPr>
                <w:szCs w:val="18"/>
                <w:lang w:val="en-US"/>
              </w:rPr>
              <w:t>Motaz</w:t>
            </w:r>
            <w:proofErr w:type="spellEnd"/>
            <w:r w:rsidRPr="007F12EC">
              <w:rPr>
                <w:szCs w:val="18"/>
                <w:lang w:val="en-US"/>
              </w:rPr>
              <w:t xml:space="preserve"> Ahmed </w:t>
            </w:r>
            <w:proofErr w:type="spellStart"/>
            <w:r w:rsidRPr="007F12EC">
              <w:rPr>
                <w:szCs w:val="18"/>
                <w:lang w:val="en-US"/>
              </w:rPr>
              <w:t>Motwali</w:t>
            </w:r>
            <w:proofErr w:type="spellEnd"/>
            <w:r w:rsidRPr="007F12EC">
              <w:rPr>
                <w:szCs w:val="18"/>
                <w:lang w:val="en-US"/>
              </w:rPr>
              <w:t xml:space="preserve">, Mohamed </w:t>
            </w:r>
            <w:proofErr w:type="spellStart"/>
            <w:r w:rsidRPr="007F12EC">
              <w:rPr>
                <w:szCs w:val="18"/>
                <w:lang w:val="en-US"/>
              </w:rPr>
              <w:t>Mohamed</w:t>
            </w:r>
            <w:proofErr w:type="spellEnd"/>
            <w:r w:rsidRPr="007F12EC">
              <w:rPr>
                <w:szCs w:val="18"/>
                <w:lang w:val="en-US"/>
              </w:rPr>
              <w:t xml:space="preserve"> </w:t>
            </w:r>
            <w:proofErr w:type="spellStart"/>
            <w:r w:rsidRPr="007F12EC">
              <w:rPr>
                <w:szCs w:val="18"/>
                <w:lang w:val="en-US"/>
              </w:rPr>
              <w:t>Abduh</w:t>
            </w:r>
            <w:proofErr w:type="spellEnd"/>
            <w:r w:rsidRPr="007F12EC">
              <w:rPr>
                <w:szCs w:val="18"/>
                <w:lang w:val="en-US"/>
              </w:rPr>
              <w:t xml:space="preserve">, Assayed Mohamed </w:t>
            </w:r>
            <w:proofErr w:type="spellStart"/>
            <w:r w:rsidRPr="007F12EC">
              <w:rPr>
                <w:szCs w:val="18"/>
                <w:lang w:val="en-US"/>
              </w:rPr>
              <w:t>Ezzat</w:t>
            </w:r>
            <w:proofErr w:type="spellEnd"/>
            <w:r w:rsidRPr="007F12EC">
              <w:rPr>
                <w:szCs w:val="18"/>
                <w:lang w:val="en-US"/>
              </w:rPr>
              <w:t xml:space="preserve"> Ahmed, Assayed Saber Ahmed Suleiman,</w:t>
            </w:r>
            <w:r w:rsidRPr="007F12EC">
              <w:t xml:space="preserve"> </w:t>
            </w:r>
            <w:r w:rsidRPr="007F12EC">
              <w:rPr>
                <w:szCs w:val="18"/>
                <w:lang w:val="en-US"/>
              </w:rPr>
              <w:t xml:space="preserve">Ahmed Hassan </w:t>
            </w:r>
            <w:proofErr w:type="spellStart"/>
            <w:r w:rsidRPr="007F12EC">
              <w:rPr>
                <w:szCs w:val="18"/>
                <w:lang w:val="en-US"/>
              </w:rPr>
              <w:t>Fawaz</w:t>
            </w:r>
            <w:proofErr w:type="spellEnd"/>
            <w:r w:rsidRPr="007F12EC">
              <w:rPr>
                <w:szCs w:val="18"/>
                <w:lang w:val="en-US"/>
              </w:rPr>
              <w:t xml:space="preserve"> Atta, Mohamed Abdel Hamid Abdel Fattah Abdel Hamid, </w:t>
            </w:r>
            <w:proofErr w:type="spellStart"/>
            <w:r w:rsidRPr="007F12EC">
              <w:rPr>
                <w:szCs w:val="18"/>
                <w:lang w:val="en-US"/>
              </w:rPr>
              <w:t>Sayyed</w:t>
            </w:r>
            <w:proofErr w:type="spellEnd"/>
            <w:r w:rsidRPr="007F12EC">
              <w:rPr>
                <w:szCs w:val="18"/>
                <w:lang w:val="en-US"/>
              </w:rPr>
              <w:t xml:space="preserve"> Ali Abdel </w:t>
            </w:r>
            <w:proofErr w:type="spellStart"/>
            <w:r w:rsidRPr="007F12EC">
              <w:rPr>
                <w:szCs w:val="18"/>
                <w:lang w:val="en-US"/>
              </w:rPr>
              <w:t>Zaher</w:t>
            </w:r>
            <w:proofErr w:type="spellEnd"/>
            <w:r w:rsidRPr="007F12EC">
              <w:rPr>
                <w:szCs w:val="18"/>
                <w:lang w:val="en-US"/>
              </w:rPr>
              <w:t>,</w:t>
            </w:r>
            <w:r w:rsidR="004D08B1">
              <w:rPr>
                <w:szCs w:val="18"/>
                <w:lang w:val="en-US"/>
              </w:rPr>
              <w:t xml:space="preserve"> and</w:t>
            </w:r>
            <w:r w:rsidRPr="007F12EC">
              <w:rPr>
                <w:szCs w:val="18"/>
                <w:lang w:val="en-US"/>
              </w:rPr>
              <w:t xml:space="preserve"> Mahmoud Abdel Fattah Abbas</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w:t>
            </w:r>
            <w:r w:rsidRPr="007F12EC">
              <w:rPr>
                <w:szCs w:val="18"/>
              </w:rPr>
              <w:br/>
              <w:t>categories II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11/2014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Yemen </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Haytham</w:t>
            </w:r>
            <w:proofErr w:type="spellEnd"/>
            <w:r w:rsidRPr="007F12EC">
              <w:rPr>
                <w:szCs w:val="18"/>
              </w:rPr>
              <w:t xml:space="preserve"> Al </w:t>
            </w:r>
            <w:proofErr w:type="spellStart"/>
            <w:r w:rsidRPr="007F12EC">
              <w:rPr>
                <w:szCs w:val="18"/>
              </w:rPr>
              <w:t>Zaeetari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12/2014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United Arab Emirates</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Khalifa</w:t>
            </w:r>
            <w:proofErr w:type="spellEnd"/>
            <w:r w:rsidRPr="007F12EC">
              <w:rPr>
                <w:szCs w:val="18"/>
              </w:rPr>
              <w:t xml:space="preserve"> </w:t>
            </w:r>
            <w:proofErr w:type="spellStart"/>
            <w:r w:rsidRPr="007F12EC">
              <w:rPr>
                <w:szCs w:val="18"/>
              </w:rPr>
              <w:t>Rabia</w:t>
            </w:r>
            <w:proofErr w:type="spellEnd"/>
            <w:r w:rsidRPr="007F12EC">
              <w:rPr>
                <w:szCs w:val="18"/>
              </w:rPr>
              <w:t xml:space="preserve"> </w:t>
            </w:r>
            <w:proofErr w:type="spellStart"/>
            <w:r w:rsidRPr="007F12EC">
              <w:rPr>
                <w:szCs w:val="18"/>
              </w:rPr>
              <w:t>Najdi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 II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13/201</w:t>
            </w:r>
            <w:r w:rsidRPr="007F12EC">
              <w:rPr>
                <w:szCs w:val="18"/>
              </w:rPr>
              <w:t>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Yemen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Mohammad Muthana Al Ammari</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14/2014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Saudi Arabia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Zakaria</w:t>
            </w:r>
            <w:proofErr w:type="spellEnd"/>
            <w:r w:rsidRPr="007F12EC">
              <w:rPr>
                <w:szCs w:val="18"/>
              </w:rPr>
              <w:t xml:space="preserve"> Mohamed Ali</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 II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15/201</w:t>
            </w:r>
            <w:r w:rsidRPr="007F12EC">
              <w:rPr>
                <w:szCs w:val="18"/>
              </w:rPr>
              <w:t>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Canada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Michael Mvogo</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IV</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16/2014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Democratic Republic </w:t>
            </w:r>
            <w:r w:rsidR="002B6C29">
              <w:rPr>
                <w:szCs w:val="18"/>
              </w:rPr>
              <w:br/>
            </w:r>
            <w:r w:rsidRPr="007F12EC">
              <w:rPr>
                <w:szCs w:val="18"/>
              </w:rPr>
              <w:t>of the Congo</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Abedi</w:t>
            </w:r>
            <w:proofErr w:type="spellEnd"/>
            <w:r w:rsidRPr="007F12EC">
              <w:rPr>
                <w:szCs w:val="18"/>
              </w:rPr>
              <w:t xml:space="preserve"> </w:t>
            </w:r>
            <w:proofErr w:type="spellStart"/>
            <w:r w:rsidRPr="007F12EC">
              <w:rPr>
                <w:szCs w:val="18"/>
              </w:rPr>
              <w:t>Ngoy</w:t>
            </w:r>
            <w:proofErr w:type="spellEnd"/>
            <w:r w:rsidRPr="007F12EC">
              <w:rPr>
                <w:szCs w:val="18"/>
              </w:rPr>
              <w:t xml:space="preserve"> and Gervais </w:t>
            </w:r>
            <w:proofErr w:type="spellStart"/>
            <w:r w:rsidRPr="007F12EC">
              <w:rPr>
                <w:szCs w:val="18"/>
              </w:rPr>
              <w:t>Saidi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rPr>
              <w:t>17/20</w:t>
            </w:r>
            <w:r w:rsidRPr="007F12EC">
              <w:rPr>
                <w:szCs w:val="18"/>
                <w:lang w:val="fr-CH"/>
              </w:rPr>
              <w:t>1</w:t>
            </w:r>
            <w:r w:rsidRPr="007F12EC">
              <w:rPr>
                <w:szCs w:val="18"/>
              </w:rPr>
              <w:t>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Algeria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Djameleddine</w:t>
            </w:r>
            <w:proofErr w:type="spellEnd"/>
            <w:r w:rsidRPr="007F12EC">
              <w:rPr>
                <w:szCs w:val="18"/>
              </w:rPr>
              <w:t xml:space="preserve"> </w:t>
            </w:r>
            <w:proofErr w:type="spellStart"/>
            <w:r w:rsidRPr="007F12EC">
              <w:rPr>
                <w:szCs w:val="18"/>
              </w:rPr>
              <w:t>Laskri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w:t>
            </w:r>
            <w:r w:rsidRPr="007F12EC">
              <w:rPr>
                <w:szCs w:val="18"/>
              </w:rPr>
              <w:br/>
              <w:t>categories 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18/201</w:t>
            </w:r>
            <w:r w:rsidRPr="007F12EC">
              <w:rPr>
                <w:szCs w:val="18"/>
              </w:rPr>
              <w:t>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Saudi Arabia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No</w:t>
            </w:r>
          </w:p>
        </w:tc>
        <w:tc>
          <w:tcPr>
            <w:tcW w:w="3005" w:type="dxa"/>
            <w:shd w:val="clear" w:color="auto" w:fill="auto"/>
          </w:tcPr>
          <w:p w:rsidR="00F17733" w:rsidRPr="004141C1" w:rsidRDefault="00F17733" w:rsidP="00BF4AF9">
            <w:pPr>
              <w:pStyle w:val="SingleTxtG"/>
              <w:suppressAutoHyphens w:val="0"/>
              <w:spacing w:before="40" w:line="220" w:lineRule="exact"/>
              <w:ind w:left="0" w:right="0"/>
              <w:jc w:val="left"/>
              <w:rPr>
                <w:szCs w:val="18"/>
                <w:lang w:val="it-IT"/>
              </w:rPr>
            </w:pPr>
            <w:r w:rsidRPr="004141C1">
              <w:rPr>
                <w:szCs w:val="18"/>
                <w:lang w:val="it-IT"/>
              </w:rPr>
              <w:t>Tawfiq Ahmad Ali Al Sabary</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Case filed</w:t>
            </w:r>
            <w:r w:rsidR="00236085" w:rsidRPr="007F12EC">
              <w:rPr>
                <w:szCs w:val="18"/>
              </w:rPr>
              <w:t xml:space="preserve"> </w:t>
            </w:r>
            <w:r w:rsidR="002B6C29">
              <w:rPr>
                <w:szCs w:val="18"/>
              </w:rPr>
              <w:br/>
            </w:r>
            <w:r w:rsidR="00236085" w:rsidRPr="007F12EC">
              <w:rPr>
                <w:szCs w:val="18"/>
              </w:rPr>
              <w:t>(person released)</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19/201</w:t>
            </w:r>
            <w:r w:rsidRPr="007F12EC">
              <w:rPr>
                <w:szCs w:val="18"/>
              </w:rPr>
              <w:t>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Thailand</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No</w:t>
            </w:r>
          </w:p>
        </w:tc>
        <w:tc>
          <w:tcPr>
            <w:tcW w:w="3005" w:type="dxa"/>
            <w:shd w:val="clear" w:color="auto" w:fill="auto"/>
          </w:tcPr>
          <w:p w:rsidR="00F17733" w:rsidRPr="004141C1" w:rsidRDefault="00F17733" w:rsidP="004D08B1">
            <w:pPr>
              <w:pStyle w:val="SingleTxtG"/>
              <w:suppressAutoHyphens w:val="0"/>
              <w:spacing w:before="40" w:line="220" w:lineRule="exact"/>
              <w:ind w:left="0" w:right="0"/>
              <w:jc w:val="left"/>
              <w:rPr>
                <w:spacing w:val="-2"/>
                <w:szCs w:val="18"/>
              </w:rPr>
            </w:pPr>
            <w:proofErr w:type="spellStart"/>
            <w:r w:rsidRPr="004141C1">
              <w:rPr>
                <w:spacing w:val="-2"/>
                <w:szCs w:val="18"/>
              </w:rPr>
              <w:t>Muhamadanwar</w:t>
            </w:r>
            <w:proofErr w:type="spellEnd"/>
            <w:r w:rsidRPr="004141C1">
              <w:rPr>
                <w:spacing w:val="-2"/>
                <w:szCs w:val="18"/>
              </w:rPr>
              <w:t xml:space="preserve"> </w:t>
            </w:r>
            <w:proofErr w:type="spellStart"/>
            <w:r w:rsidRPr="004141C1">
              <w:rPr>
                <w:spacing w:val="-2"/>
                <w:szCs w:val="18"/>
              </w:rPr>
              <w:t>Hajiteh</w:t>
            </w:r>
            <w:proofErr w:type="spellEnd"/>
            <w:r w:rsidR="004D08B1" w:rsidRPr="004141C1">
              <w:rPr>
                <w:spacing w:val="-2"/>
                <w:szCs w:val="18"/>
              </w:rPr>
              <w:t>, also known as</w:t>
            </w:r>
            <w:r w:rsidRPr="004141C1">
              <w:rPr>
                <w:spacing w:val="-2"/>
                <w:szCs w:val="18"/>
              </w:rPr>
              <w:t xml:space="preserve"> Muhamad </w:t>
            </w:r>
            <w:proofErr w:type="spellStart"/>
            <w:r w:rsidRPr="004141C1">
              <w:rPr>
                <w:spacing w:val="-2"/>
                <w:szCs w:val="18"/>
              </w:rPr>
              <w:t>Anwal</w:t>
            </w:r>
            <w:proofErr w:type="spellEnd"/>
            <w:r w:rsidRPr="004141C1">
              <w:rPr>
                <w:spacing w:val="-2"/>
                <w:szCs w:val="18"/>
              </w:rPr>
              <w:t xml:space="preserve"> or Anwar</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 xml:space="preserve">Detention arbitrary, </w:t>
            </w:r>
            <w:r w:rsidRPr="007F12EC">
              <w:rPr>
                <w:szCs w:val="18"/>
                <w:lang w:val="fr-CH"/>
              </w:rPr>
              <w:br/>
              <w:t>category III </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20/201</w:t>
            </w:r>
            <w:r w:rsidRPr="007F12EC">
              <w:rPr>
                <w:szCs w:val="18"/>
              </w:rPr>
              <w:t>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El Salvador</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Yes</w:t>
            </w:r>
          </w:p>
        </w:tc>
        <w:tc>
          <w:tcPr>
            <w:tcW w:w="3005" w:type="dxa"/>
            <w:shd w:val="clear" w:color="auto" w:fill="auto"/>
          </w:tcPr>
          <w:p w:rsidR="00F17733" w:rsidRPr="004141C1" w:rsidRDefault="00F17733" w:rsidP="006709C2">
            <w:pPr>
              <w:pStyle w:val="SingleTxtG"/>
              <w:suppressAutoHyphens w:val="0"/>
              <w:spacing w:before="40" w:line="220" w:lineRule="exact"/>
              <w:ind w:left="0" w:right="0"/>
              <w:jc w:val="left"/>
              <w:rPr>
                <w:spacing w:val="-2"/>
                <w:szCs w:val="18"/>
                <w:lang w:val="es-ES"/>
              </w:rPr>
            </w:pPr>
            <w:r w:rsidRPr="004141C1">
              <w:rPr>
                <w:spacing w:val="-2"/>
                <w:szCs w:val="18"/>
                <w:lang w:val="es-ES"/>
              </w:rPr>
              <w:t xml:space="preserve">Aracely del Carmen Gutiérrez Mejía; Verónica Beatriz Hernández Mejía </w:t>
            </w:r>
            <w:r w:rsidR="004D08B1" w:rsidRPr="004141C1">
              <w:rPr>
                <w:spacing w:val="-2"/>
                <w:szCs w:val="18"/>
                <w:lang w:val="es-ES"/>
              </w:rPr>
              <w:t>and</w:t>
            </w:r>
            <w:r w:rsidR="006709C2" w:rsidRPr="004141C1">
              <w:rPr>
                <w:spacing w:val="-2"/>
                <w:szCs w:val="18"/>
                <w:lang w:val="es-ES"/>
              </w:rPr>
              <w:t> </w:t>
            </w:r>
            <w:r w:rsidRPr="004141C1">
              <w:rPr>
                <w:spacing w:val="-2"/>
                <w:szCs w:val="18"/>
                <w:lang w:val="es-ES"/>
              </w:rPr>
              <w:t>Reyna Ada López Mulato</w:t>
            </w:r>
          </w:p>
        </w:tc>
        <w:tc>
          <w:tcPr>
            <w:tcW w:w="1871" w:type="dxa"/>
            <w:shd w:val="clear" w:color="auto" w:fill="auto"/>
          </w:tcPr>
          <w:p w:rsidR="00F17733" w:rsidRPr="007F12EC" w:rsidRDefault="00F17733" w:rsidP="00A64EAF">
            <w:pPr>
              <w:pStyle w:val="SingleTxtG"/>
              <w:suppressAutoHyphens w:val="0"/>
              <w:spacing w:before="40" w:line="220" w:lineRule="exact"/>
              <w:ind w:left="0" w:right="0"/>
              <w:jc w:val="left"/>
              <w:rPr>
                <w:szCs w:val="18"/>
              </w:rPr>
            </w:pPr>
            <w:r w:rsidRPr="007F12EC">
              <w:rPr>
                <w:szCs w:val="18"/>
              </w:rPr>
              <w:t>Dete</w:t>
            </w:r>
            <w:r w:rsidR="00236085" w:rsidRPr="007F12EC">
              <w:rPr>
                <w:szCs w:val="18"/>
              </w:rPr>
              <w:t xml:space="preserve">ntion arbitrary, </w:t>
            </w:r>
            <w:r w:rsidR="00236085" w:rsidRPr="007F12EC">
              <w:rPr>
                <w:szCs w:val="18"/>
              </w:rPr>
              <w:br/>
              <w:t>category III;</w:t>
            </w:r>
            <w:r w:rsidR="00CE0EF5" w:rsidRPr="007F12EC">
              <w:rPr>
                <w:szCs w:val="18"/>
              </w:rPr>
              <w:t xml:space="preserve"> </w:t>
            </w:r>
            <w:r w:rsidR="00A64EAF">
              <w:rPr>
                <w:szCs w:val="18"/>
              </w:rPr>
              <w:br/>
            </w:r>
            <w:r w:rsidR="00ED7DBD">
              <w:rPr>
                <w:szCs w:val="18"/>
              </w:rPr>
              <w:t>i</w:t>
            </w:r>
            <w:r w:rsidR="00A64EAF">
              <w:rPr>
                <w:szCs w:val="18"/>
              </w:rPr>
              <w:t>n the cases of Ms. </w:t>
            </w:r>
            <w:r w:rsidR="00236085" w:rsidRPr="007F12EC">
              <w:rPr>
                <w:szCs w:val="18"/>
              </w:rPr>
              <w:t>Hernández and</w:t>
            </w:r>
            <w:r w:rsidR="00A64EAF">
              <w:rPr>
                <w:szCs w:val="18"/>
              </w:rPr>
              <w:t> </w:t>
            </w:r>
            <w:r w:rsidR="00ED7DBD">
              <w:rPr>
                <w:szCs w:val="18"/>
              </w:rPr>
              <w:t xml:space="preserve">Ms. </w:t>
            </w:r>
            <w:proofErr w:type="spellStart"/>
            <w:r w:rsidR="00236085" w:rsidRPr="007F12EC">
              <w:rPr>
                <w:szCs w:val="18"/>
              </w:rPr>
              <w:t>López</w:t>
            </w:r>
            <w:proofErr w:type="spellEnd"/>
            <w:r w:rsidR="00236085" w:rsidRPr="007F12EC">
              <w:rPr>
                <w:szCs w:val="18"/>
              </w:rPr>
              <w:t xml:space="preserve"> </w:t>
            </w:r>
            <w:proofErr w:type="spellStart"/>
            <w:r w:rsidR="00236085" w:rsidRPr="007F12EC">
              <w:rPr>
                <w:szCs w:val="18"/>
              </w:rPr>
              <w:t>Mulato</w:t>
            </w:r>
            <w:proofErr w:type="spellEnd"/>
            <w:r w:rsidR="00236085" w:rsidRPr="007F12EC">
              <w:rPr>
                <w:szCs w:val="18"/>
              </w:rPr>
              <w:t>, category 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21/2014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China </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Wang </w:t>
            </w:r>
            <w:proofErr w:type="spellStart"/>
            <w:r w:rsidRPr="007F12EC">
              <w:rPr>
                <w:szCs w:val="18"/>
              </w:rPr>
              <w:t>Hanfei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II </w:t>
            </w:r>
          </w:p>
        </w:tc>
      </w:tr>
      <w:tr w:rsidR="00F17733" w:rsidRPr="007F12EC" w:rsidTr="002B6C29">
        <w:trPr>
          <w:cantSplit/>
          <w:trHeight w:val="313"/>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22/2014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Bahrain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Jassim</w:t>
            </w:r>
            <w:proofErr w:type="spellEnd"/>
            <w:r w:rsidRPr="007F12EC">
              <w:rPr>
                <w:szCs w:val="18"/>
              </w:rPr>
              <w:t xml:space="preserve"> al-</w:t>
            </w:r>
            <w:proofErr w:type="spellStart"/>
            <w:r w:rsidRPr="007F12EC">
              <w:rPr>
                <w:szCs w:val="18"/>
              </w:rPr>
              <w:t>Hulaibi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III </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23/2014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es-ES"/>
              </w:rPr>
            </w:pPr>
            <w:proofErr w:type="spellStart"/>
            <w:r w:rsidRPr="007F12EC">
              <w:rPr>
                <w:szCs w:val="18"/>
                <w:lang w:val="es-ES"/>
              </w:rPr>
              <w:t>Mexico</w:t>
            </w:r>
            <w:proofErr w:type="spellEnd"/>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es-ES"/>
              </w:rPr>
            </w:pPr>
            <w:r w:rsidRPr="007F12EC">
              <w:rPr>
                <w:szCs w:val="18"/>
                <w:lang w:val="es-ES"/>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es-ES"/>
              </w:rPr>
            </w:pPr>
            <w:r w:rsidRPr="007F12EC">
              <w:rPr>
                <w:szCs w:val="18"/>
                <w:lang w:val="es-ES"/>
              </w:rPr>
              <w:t>Damián Gallardo Martínez</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 II and III </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24/2014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Myanmar</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La Ring</w:t>
            </w:r>
          </w:p>
        </w:tc>
        <w:tc>
          <w:tcPr>
            <w:tcW w:w="1871" w:type="dxa"/>
            <w:shd w:val="clear" w:color="auto" w:fill="auto"/>
          </w:tcPr>
          <w:p w:rsidR="00F17733" w:rsidRPr="007F12EC" w:rsidRDefault="00F17733" w:rsidP="002B6C2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 II, III and</w:t>
            </w:r>
            <w:r w:rsidR="002B6C29">
              <w:rPr>
                <w:szCs w:val="18"/>
              </w:rPr>
              <w:t> </w:t>
            </w:r>
            <w:r w:rsidRPr="007F12EC">
              <w:rPr>
                <w:szCs w:val="18"/>
              </w:rPr>
              <w:t>V</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25/2014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Bahrain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4E3BC2" w:rsidP="00BF4AF9">
            <w:pPr>
              <w:pStyle w:val="SingleTxtG"/>
              <w:suppressAutoHyphens w:val="0"/>
              <w:spacing w:before="40" w:line="220" w:lineRule="exact"/>
              <w:ind w:left="0" w:right="0"/>
              <w:jc w:val="left"/>
              <w:rPr>
                <w:szCs w:val="18"/>
              </w:rPr>
            </w:pPr>
            <w:r w:rsidRPr="007F12EC">
              <w:rPr>
                <w:szCs w:val="18"/>
              </w:rPr>
              <w:t>A minor</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rPr>
              <w:t xml:space="preserve">Detention arbitrary, </w:t>
            </w:r>
            <w:r w:rsidRPr="007F12EC">
              <w:rPr>
                <w:szCs w:val="18"/>
              </w:rPr>
              <w:br/>
            </w:r>
            <w:proofErr w:type="spellStart"/>
            <w:r w:rsidRPr="007F12EC">
              <w:rPr>
                <w:szCs w:val="18"/>
              </w:rPr>
              <w:t>categor</w:t>
            </w:r>
            <w:proofErr w:type="spellEnd"/>
            <w:r w:rsidRPr="007F12EC">
              <w:rPr>
                <w:szCs w:val="18"/>
                <w:lang w:val="fr-CH"/>
              </w:rPr>
              <w:t>y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26/2014</w:t>
            </w:r>
          </w:p>
        </w:tc>
        <w:tc>
          <w:tcPr>
            <w:tcW w:w="1247" w:type="dxa"/>
            <w:shd w:val="clear" w:color="auto" w:fill="auto"/>
          </w:tcPr>
          <w:p w:rsidR="00F17733" w:rsidRPr="007F12EC" w:rsidRDefault="00B948AA" w:rsidP="00275393">
            <w:pPr>
              <w:pStyle w:val="SingleTxtG"/>
              <w:suppressAutoHyphens w:val="0"/>
              <w:spacing w:before="40" w:line="220" w:lineRule="exact"/>
              <w:ind w:left="0" w:right="0"/>
              <w:jc w:val="left"/>
              <w:rPr>
                <w:szCs w:val="18"/>
                <w:lang w:val="fr-CH"/>
              </w:rPr>
            </w:pPr>
            <w:r w:rsidRPr="007F12EC">
              <w:rPr>
                <w:szCs w:val="18"/>
                <w:lang w:val="fr-CH"/>
              </w:rPr>
              <w:t xml:space="preserve">Bolivarian Republic of </w:t>
            </w:r>
            <w:r w:rsidR="00F17733" w:rsidRPr="007F12EC">
              <w:rPr>
                <w:szCs w:val="18"/>
                <w:lang w:val="fr-CH"/>
              </w:rPr>
              <w:t>Venezuela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Leopoldo López</w:t>
            </w:r>
            <w:r w:rsidR="004E3BC2" w:rsidRPr="007F12EC">
              <w:rPr>
                <w:szCs w:val="18"/>
                <w:lang w:val="fr-CH"/>
              </w:rPr>
              <w:t xml:space="preserve"> Mendoza</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27/2014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Bahrain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es-ES"/>
              </w:rPr>
            </w:pPr>
            <w:r w:rsidRPr="007F12EC">
              <w:rPr>
                <w:szCs w:val="18"/>
                <w:lang w:val="fr-CH"/>
              </w:rPr>
              <w:t>Ali Salman</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 xml:space="preserve">Detention arbitrary, </w:t>
            </w:r>
            <w:r w:rsidRPr="007F12EC">
              <w:rPr>
                <w:szCs w:val="18"/>
                <w:lang w:val="fr-CH"/>
              </w:rPr>
              <w:br/>
              <w:t>category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28/2014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Bolivia (Plurinational State of)</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No</w:t>
            </w:r>
          </w:p>
        </w:tc>
        <w:tc>
          <w:tcPr>
            <w:tcW w:w="3005" w:type="dxa"/>
            <w:shd w:val="clear" w:color="auto" w:fill="auto"/>
          </w:tcPr>
          <w:p w:rsidR="00F17733" w:rsidRPr="007F12EC" w:rsidRDefault="000C4B1B" w:rsidP="00BF4AF9">
            <w:pPr>
              <w:pStyle w:val="SingleTxtG"/>
              <w:suppressAutoHyphens w:val="0"/>
              <w:spacing w:before="40" w:line="220" w:lineRule="exact"/>
              <w:ind w:left="0" w:right="0"/>
              <w:jc w:val="left"/>
              <w:rPr>
                <w:szCs w:val="18"/>
                <w:lang w:val="fr-CH"/>
              </w:rPr>
            </w:pPr>
            <w:r>
              <w:rPr>
                <w:szCs w:val="18"/>
                <w:lang w:val="fr-CH"/>
              </w:rPr>
              <w:t xml:space="preserve">Mario Francisco Tadic </w:t>
            </w:r>
            <w:r w:rsidR="00F17733" w:rsidRPr="007F12EC">
              <w:rPr>
                <w:szCs w:val="18"/>
                <w:lang w:val="fr-CH"/>
              </w:rPr>
              <w:t>Astorga</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29/2014</w:t>
            </w:r>
          </w:p>
        </w:tc>
        <w:tc>
          <w:tcPr>
            <w:tcW w:w="1247" w:type="dxa"/>
            <w:shd w:val="clear" w:color="auto" w:fill="auto"/>
          </w:tcPr>
          <w:p w:rsidR="00F17733" w:rsidRPr="007F12EC" w:rsidRDefault="00B948AA" w:rsidP="00275393">
            <w:pPr>
              <w:pStyle w:val="SingleTxtG"/>
              <w:suppressAutoHyphens w:val="0"/>
              <w:spacing w:before="40" w:line="220" w:lineRule="exact"/>
              <w:ind w:left="0" w:right="0"/>
              <w:jc w:val="left"/>
              <w:rPr>
                <w:szCs w:val="18"/>
                <w:lang w:val="es-ES"/>
              </w:rPr>
            </w:pPr>
            <w:r w:rsidRPr="007F12EC">
              <w:rPr>
                <w:szCs w:val="18"/>
                <w:lang w:val="fr-CH"/>
              </w:rPr>
              <w:t>Bolivarian Republic of</w:t>
            </w:r>
            <w:r w:rsidRPr="007F12EC">
              <w:rPr>
                <w:szCs w:val="18"/>
                <w:lang w:val="es-ES"/>
              </w:rPr>
              <w:t xml:space="preserve"> </w:t>
            </w:r>
            <w:r w:rsidR="00F17733" w:rsidRPr="007F12EC">
              <w:rPr>
                <w:szCs w:val="18"/>
                <w:lang w:val="es-ES"/>
              </w:rPr>
              <w:t>Venezuela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es-ES"/>
              </w:rPr>
            </w:pPr>
            <w:r w:rsidRPr="007F12EC">
              <w:rPr>
                <w:szCs w:val="18"/>
                <w:lang w:val="es-ES"/>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es-ES"/>
              </w:rPr>
            </w:pPr>
            <w:r w:rsidRPr="007F12EC">
              <w:rPr>
                <w:szCs w:val="18"/>
                <w:lang w:val="es-ES"/>
              </w:rPr>
              <w:t>Juan Carlos Nieto Quintero</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30/2014</w:t>
            </w:r>
          </w:p>
        </w:tc>
        <w:tc>
          <w:tcPr>
            <w:tcW w:w="1247" w:type="dxa"/>
            <w:shd w:val="clear" w:color="auto" w:fill="auto"/>
          </w:tcPr>
          <w:p w:rsidR="00F17733" w:rsidRPr="007F12EC" w:rsidRDefault="00B948AA" w:rsidP="00275393">
            <w:pPr>
              <w:pStyle w:val="SingleTxtG"/>
              <w:suppressAutoHyphens w:val="0"/>
              <w:spacing w:before="40" w:line="220" w:lineRule="exact"/>
              <w:ind w:left="0" w:right="0"/>
              <w:jc w:val="left"/>
              <w:rPr>
                <w:szCs w:val="18"/>
                <w:lang w:val="es-ES"/>
              </w:rPr>
            </w:pPr>
            <w:r w:rsidRPr="007F12EC">
              <w:rPr>
                <w:szCs w:val="18"/>
                <w:lang w:val="fr-CH"/>
              </w:rPr>
              <w:t>Bolivarian Republic of</w:t>
            </w:r>
            <w:r w:rsidRPr="007F12EC">
              <w:rPr>
                <w:szCs w:val="18"/>
                <w:lang w:val="es-ES"/>
              </w:rPr>
              <w:t xml:space="preserve"> </w:t>
            </w:r>
            <w:r w:rsidR="00F17733" w:rsidRPr="007F12EC">
              <w:rPr>
                <w:szCs w:val="18"/>
                <w:lang w:val="es-ES"/>
              </w:rPr>
              <w:t>Venezuela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es-ES"/>
              </w:rPr>
            </w:pPr>
            <w:r w:rsidRPr="007F12EC">
              <w:rPr>
                <w:szCs w:val="18"/>
                <w:lang w:val="es-ES"/>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es-ES"/>
              </w:rPr>
            </w:pPr>
            <w:r w:rsidRPr="007F12EC">
              <w:rPr>
                <w:szCs w:val="18"/>
                <w:lang w:val="es-ES"/>
              </w:rPr>
              <w:t>Daniel Omar Ceballos Morales</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31/2014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Myanmar</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es-ES"/>
              </w:rPr>
            </w:pPr>
            <w:proofErr w:type="spellStart"/>
            <w:r w:rsidRPr="007F12EC">
              <w:rPr>
                <w:szCs w:val="18"/>
              </w:rPr>
              <w:t>Kyaw</w:t>
            </w:r>
            <w:proofErr w:type="spellEnd"/>
            <w:r w:rsidRPr="007F12EC">
              <w:rPr>
                <w:szCs w:val="18"/>
              </w:rPr>
              <w:t xml:space="preserve"> </w:t>
            </w:r>
            <w:proofErr w:type="spellStart"/>
            <w:r w:rsidRPr="007F12EC">
              <w:rPr>
                <w:szCs w:val="18"/>
              </w:rPr>
              <w:t>Hla</w:t>
            </w:r>
            <w:proofErr w:type="spellEnd"/>
            <w:r w:rsidRPr="007F12EC">
              <w:rPr>
                <w:szCs w:val="18"/>
              </w:rPr>
              <w:t xml:space="preserve"> Aung</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32/2014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Saudi Arabia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fr-CH"/>
              </w:rPr>
            </w:pPr>
            <w:r w:rsidRPr="007F12EC">
              <w:rPr>
                <w:szCs w:val="18"/>
                <w:lang w:val="fr-CH"/>
              </w:rPr>
              <w:t>Tahir Ali Abdi Jama</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33/2014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Burundi</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Pierre-Claver </w:t>
            </w:r>
            <w:proofErr w:type="spellStart"/>
            <w:r w:rsidRPr="007F12EC">
              <w:rPr>
                <w:szCs w:val="18"/>
              </w:rPr>
              <w:t>Mbonimpa</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34/2014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Bahrain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4141C1" w:rsidRDefault="00F17733" w:rsidP="00BF4AF9">
            <w:pPr>
              <w:pStyle w:val="SingleTxtG"/>
              <w:suppressAutoHyphens w:val="0"/>
              <w:spacing w:before="40" w:line="220" w:lineRule="exact"/>
              <w:ind w:left="0" w:right="0"/>
              <w:jc w:val="left"/>
              <w:rPr>
                <w:spacing w:val="-2"/>
                <w:szCs w:val="18"/>
              </w:rPr>
            </w:pPr>
            <w:r w:rsidRPr="004141C1">
              <w:rPr>
                <w:spacing w:val="-2"/>
                <w:szCs w:val="18"/>
              </w:rPr>
              <w:t xml:space="preserve">Mohammed Hassan </w:t>
            </w:r>
            <w:proofErr w:type="spellStart"/>
            <w:r w:rsidRPr="004141C1">
              <w:rPr>
                <w:spacing w:val="-2"/>
                <w:szCs w:val="18"/>
              </w:rPr>
              <w:t>Sedif</w:t>
            </w:r>
            <w:proofErr w:type="spellEnd"/>
            <w:r w:rsidRPr="004141C1">
              <w:rPr>
                <w:spacing w:val="-2"/>
                <w:szCs w:val="18"/>
              </w:rPr>
              <w:t xml:space="preserve"> and Abdul Aziz Moussa</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II and III</w:t>
            </w:r>
            <w:r w:rsidR="004E3BC2" w:rsidRPr="007F12EC">
              <w:rPr>
                <w:szCs w:val="18"/>
              </w:rPr>
              <w:t>; in the case of</w:t>
            </w:r>
            <w:r w:rsidR="00A00E2D" w:rsidRPr="007F12EC">
              <w:rPr>
                <w:szCs w:val="18"/>
              </w:rPr>
              <w:t xml:space="preserve"> Mr. </w:t>
            </w:r>
            <w:r w:rsidR="004E3BC2" w:rsidRPr="007F12EC">
              <w:rPr>
                <w:szCs w:val="18"/>
              </w:rPr>
              <w:t>Moussa, detention arbitrary category 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35/2014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Egypt</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D241D1">
            <w:pPr>
              <w:pStyle w:val="SingleTxtG"/>
              <w:suppressAutoHyphens w:val="0"/>
              <w:spacing w:before="40" w:line="220" w:lineRule="exact"/>
              <w:ind w:left="0" w:right="0"/>
              <w:jc w:val="left"/>
              <w:rPr>
                <w:szCs w:val="18"/>
              </w:rPr>
            </w:pPr>
            <w:r w:rsidRPr="007F12EC">
              <w:rPr>
                <w:szCs w:val="18"/>
              </w:rPr>
              <w:t>Khaled Mohamed Hamza Abbas</w:t>
            </w:r>
            <w:r w:rsidR="00D241D1">
              <w:rPr>
                <w:szCs w:val="18"/>
              </w:rPr>
              <w:t xml:space="preserve">, </w:t>
            </w:r>
            <w:r w:rsidR="00D241D1" w:rsidRPr="00D241D1">
              <w:rPr>
                <w:szCs w:val="18"/>
              </w:rPr>
              <w:t xml:space="preserve">Adel Mostafa </w:t>
            </w:r>
            <w:proofErr w:type="spellStart"/>
            <w:r w:rsidR="00D241D1" w:rsidRPr="00D241D1">
              <w:rPr>
                <w:szCs w:val="18"/>
              </w:rPr>
              <w:t>Hamdan</w:t>
            </w:r>
            <w:proofErr w:type="spellEnd"/>
            <w:r w:rsidR="00D241D1" w:rsidRPr="00D241D1">
              <w:rPr>
                <w:szCs w:val="18"/>
              </w:rPr>
              <w:t xml:space="preserve"> </w:t>
            </w:r>
            <w:proofErr w:type="spellStart"/>
            <w:r w:rsidR="00D241D1" w:rsidRPr="00D241D1">
              <w:rPr>
                <w:szCs w:val="18"/>
              </w:rPr>
              <w:t>Qatamish</w:t>
            </w:r>
            <w:proofErr w:type="spellEnd"/>
            <w:r w:rsidR="00D241D1" w:rsidRPr="00D241D1">
              <w:rPr>
                <w:szCs w:val="18"/>
              </w:rPr>
              <w:t xml:space="preserve">, </w:t>
            </w:r>
            <w:r w:rsidR="00AF3772">
              <w:rPr>
                <w:szCs w:val="18"/>
              </w:rPr>
              <w:br/>
            </w:r>
            <w:r w:rsidR="00D241D1" w:rsidRPr="00D241D1">
              <w:rPr>
                <w:szCs w:val="18"/>
              </w:rPr>
              <w:t xml:space="preserve">Ali </w:t>
            </w:r>
            <w:proofErr w:type="spellStart"/>
            <w:r w:rsidR="00D241D1" w:rsidRPr="00D241D1">
              <w:rPr>
                <w:szCs w:val="18"/>
              </w:rPr>
              <w:t>Ezzedin</w:t>
            </w:r>
            <w:proofErr w:type="spellEnd"/>
            <w:r w:rsidR="00D241D1" w:rsidRPr="00D241D1">
              <w:rPr>
                <w:szCs w:val="18"/>
              </w:rPr>
              <w:t xml:space="preserve"> </w:t>
            </w:r>
            <w:proofErr w:type="spellStart"/>
            <w:r w:rsidR="00D241D1" w:rsidRPr="00D241D1">
              <w:rPr>
                <w:szCs w:val="18"/>
              </w:rPr>
              <w:t>Thabit</w:t>
            </w:r>
            <w:proofErr w:type="spellEnd"/>
            <w:r w:rsidR="00D241D1" w:rsidRPr="00D241D1">
              <w:rPr>
                <w:szCs w:val="18"/>
              </w:rPr>
              <w:t>, Zain El-</w:t>
            </w:r>
            <w:proofErr w:type="spellStart"/>
            <w:r w:rsidR="00D241D1" w:rsidRPr="00D241D1">
              <w:rPr>
                <w:szCs w:val="18"/>
              </w:rPr>
              <w:t>Abidine</w:t>
            </w:r>
            <w:proofErr w:type="spellEnd"/>
            <w:r w:rsidR="00D241D1" w:rsidRPr="00D241D1">
              <w:rPr>
                <w:szCs w:val="18"/>
              </w:rPr>
              <w:t xml:space="preserve"> Mahmoud and Tariq Ismail Ahmed</w:t>
            </w:r>
            <w:r w:rsidRPr="007F12EC">
              <w:rPr>
                <w:szCs w:val="18"/>
              </w:rPr>
              <w:t xml:space="preserve"> </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36/2014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Syrian Arab Republic</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Ammar </w:t>
            </w:r>
            <w:proofErr w:type="spellStart"/>
            <w:r w:rsidRPr="007F12EC">
              <w:rPr>
                <w:szCs w:val="18"/>
              </w:rPr>
              <w:t>Tellawi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37/2014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b/>
                <w:szCs w:val="18"/>
                <w:lang w:val="es-ES"/>
              </w:rPr>
            </w:pPr>
            <w:r w:rsidRPr="007F12EC">
              <w:rPr>
                <w:szCs w:val="18"/>
              </w:rPr>
              <w:t>Bahrain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es-ES"/>
              </w:rPr>
            </w:pPr>
            <w:r w:rsidRPr="007F12EC">
              <w:rPr>
                <w:szCs w:val="18"/>
                <w:lang w:val="es-ES"/>
              </w:rPr>
              <w:t>No</w:t>
            </w:r>
          </w:p>
        </w:tc>
        <w:tc>
          <w:tcPr>
            <w:tcW w:w="3005" w:type="dxa"/>
            <w:shd w:val="clear" w:color="auto" w:fill="auto"/>
          </w:tcPr>
          <w:p w:rsidR="00F17733" w:rsidRPr="005634FC" w:rsidRDefault="00F17733" w:rsidP="00961419">
            <w:pPr>
              <w:pStyle w:val="SingleTxtG"/>
              <w:suppressAutoHyphens w:val="0"/>
              <w:spacing w:before="40" w:line="220" w:lineRule="exact"/>
              <w:ind w:left="0" w:right="0"/>
              <w:jc w:val="left"/>
              <w:rPr>
                <w:spacing w:val="-2"/>
                <w:szCs w:val="18"/>
              </w:rPr>
            </w:pPr>
            <w:proofErr w:type="spellStart"/>
            <w:r w:rsidRPr="005634FC">
              <w:rPr>
                <w:spacing w:val="-2"/>
                <w:szCs w:val="18"/>
              </w:rPr>
              <w:t>Ebrahim</w:t>
            </w:r>
            <w:proofErr w:type="spellEnd"/>
            <w:r w:rsidRPr="005634FC">
              <w:rPr>
                <w:spacing w:val="-2"/>
                <w:szCs w:val="18"/>
              </w:rPr>
              <w:t xml:space="preserve"> Abdulla al-</w:t>
            </w:r>
            <w:proofErr w:type="spellStart"/>
            <w:r w:rsidRPr="005634FC">
              <w:rPr>
                <w:spacing w:val="-2"/>
                <w:szCs w:val="18"/>
              </w:rPr>
              <w:t>Sharqi</w:t>
            </w:r>
            <w:proofErr w:type="spellEnd"/>
            <w:r w:rsidR="00961419" w:rsidRPr="005634FC">
              <w:rPr>
                <w:spacing w:val="-2"/>
                <w:szCs w:val="18"/>
              </w:rPr>
              <w:t xml:space="preserve">, </w:t>
            </w:r>
            <w:proofErr w:type="spellStart"/>
            <w:r w:rsidR="00961419" w:rsidRPr="005634FC">
              <w:rPr>
                <w:spacing w:val="-2"/>
                <w:szCs w:val="18"/>
              </w:rPr>
              <w:t>Taleb</w:t>
            </w:r>
            <w:proofErr w:type="spellEnd"/>
            <w:r w:rsidR="00961419" w:rsidRPr="005634FC">
              <w:rPr>
                <w:spacing w:val="-2"/>
                <w:szCs w:val="18"/>
              </w:rPr>
              <w:t xml:space="preserve"> </w:t>
            </w:r>
            <w:r w:rsidR="00895947" w:rsidRPr="005634FC">
              <w:rPr>
                <w:spacing w:val="-2"/>
                <w:szCs w:val="18"/>
              </w:rPr>
              <w:br/>
            </w:r>
            <w:r w:rsidR="00961419" w:rsidRPr="005634FC">
              <w:rPr>
                <w:spacing w:val="-2"/>
                <w:szCs w:val="18"/>
              </w:rPr>
              <w:t xml:space="preserve">Ali Mohammed and Ahmed Abdulla </w:t>
            </w:r>
            <w:proofErr w:type="spellStart"/>
            <w:r w:rsidR="00961419" w:rsidRPr="005634FC">
              <w:rPr>
                <w:spacing w:val="-2"/>
                <w:szCs w:val="18"/>
              </w:rPr>
              <w:t>Ebrahim</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38/2014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Cameroon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Paul Eric </w:t>
            </w:r>
            <w:proofErr w:type="spellStart"/>
            <w:r w:rsidRPr="007F12EC">
              <w:rPr>
                <w:szCs w:val="18"/>
              </w:rPr>
              <w:t>Kingue</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39/2014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Tunisia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Salem </w:t>
            </w:r>
            <w:proofErr w:type="spellStart"/>
            <w:r w:rsidRPr="007F12EC">
              <w:rPr>
                <w:szCs w:val="18"/>
              </w:rPr>
              <w:t>Lani</w:t>
            </w:r>
            <w:proofErr w:type="spellEnd"/>
            <w:r w:rsidRPr="007F12EC">
              <w:rPr>
                <w:szCs w:val="18"/>
              </w:rPr>
              <w:t xml:space="preserve">, </w:t>
            </w:r>
            <w:proofErr w:type="spellStart"/>
            <w:r w:rsidRPr="007F12EC">
              <w:rPr>
                <w:szCs w:val="18"/>
              </w:rPr>
              <w:t>Abdeldelwaheb</w:t>
            </w:r>
            <w:proofErr w:type="spellEnd"/>
            <w:r w:rsidRPr="007F12EC">
              <w:rPr>
                <w:szCs w:val="18"/>
              </w:rPr>
              <w:t xml:space="preserve"> </w:t>
            </w:r>
            <w:proofErr w:type="spellStart"/>
            <w:r w:rsidRPr="007F12EC">
              <w:rPr>
                <w:szCs w:val="18"/>
              </w:rPr>
              <w:t>Thabti</w:t>
            </w:r>
            <w:proofErr w:type="spellEnd"/>
            <w:r w:rsidRPr="007F12EC">
              <w:rPr>
                <w:szCs w:val="18"/>
              </w:rPr>
              <w:t xml:space="preserve">, </w:t>
            </w:r>
            <w:proofErr w:type="spellStart"/>
            <w:r w:rsidRPr="007F12EC">
              <w:rPr>
                <w:szCs w:val="18"/>
              </w:rPr>
              <w:t>Mabrouk</w:t>
            </w:r>
            <w:proofErr w:type="spellEnd"/>
            <w:r w:rsidRPr="007F12EC">
              <w:rPr>
                <w:szCs w:val="18"/>
              </w:rPr>
              <w:t xml:space="preserve"> Gasser, </w:t>
            </w:r>
            <w:proofErr w:type="spellStart"/>
            <w:r w:rsidRPr="007F12EC">
              <w:rPr>
                <w:szCs w:val="18"/>
              </w:rPr>
              <w:t>Elfakhem</w:t>
            </w:r>
            <w:proofErr w:type="spellEnd"/>
            <w:r w:rsidRPr="007F12EC">
              <w:rPr>
                <w:szCs w:val="18"/>
              </w:rPr>
              <w:t xml:space="preserve"> </w:t>
            </w:r>
            <w:proofErr w:type="spellStart"/>
            <w:r w:rsidRPr="007F12EC">
              <w:rPr>
                <w:szCs w:val="18"/>
              </w:rPr>
              <w:t>Elwichi</w:t>
            </w:r>
            <w:proofErr w:type="spellEnd"/>
            <w:r w:rsidRPr="007F12EC">
              <w:rPr>
                <w:szCs w:val="18"/>
              </w:rPr>
              <w:t xml:space="preserve">, </w:t>
            </w:r>
            <w:proofErr w:type="spellStart"/>
            <w:r w:rsidRPr="007F12EC">
              <w:rPr>
                <w:szCs w:val="18"/>
              </w:rPr>
              <w:t>Bechir</w:t>
            </w:r>
            <w:proofErr w:type="spellEnd"/>
            <w:r w:rsidRPr="007F12EC">
              <w:rPr>
                <w:szCs w:val="18"/>
              </w:rPr>
              <w:t xml:space="preserve"> </w:t>
            </w:r>
            <w:proofErr w:type="spellStart"/>
            <w:r w:rsidRPr="007F12EC">
              <w:rPr>
                <w:szCs w:val="18"/>
              </w:rPr>
              <w:t>H’rabi</w:t>
            </w:r>
            <w:proofErr w:type="spellEnd"/>
            <w:r w:rsidRPr="007F12EC">
              <w:rPr>
                <w:szCs w:val="18"/>
              </w:rPr>
              <w:t xml:space="preserve">, </w:t>
            </w:r>
            <w:proofErr w:type="spellStart"/>
            <w:r w:rsidRPr="007F12EC">
              <w:rPr>
                <w:szCs w:val="18"/>
              </w:rPr>
              <w:t>Monji</w:t>
            </w:r>
            <w:proofErr w:type="spellEnd"/>
            <w:r w:rsidRPr="007F12EC">
              <w:rPr>
                <w:szCs w:val="18"/>
              </w:rPr>
              <w:t xml:space="preserve"> </w:t>
            </w:r>
            <w:proofErr w:type="spellStart"/>
            <w:r w:rsidRPr="007F12EC">
              <w:rPr>
                <w:szCs w:val="18"/>
              </w:rPr>
              <w:t>Maiz</w:t>
            </w:r>
            <w:proofErr w:type="spellEnd"/>
            <w:r w:rsidR="00895947">
              <w:rPr>
                <w:szCs w:val="18"/>
              </w:rPr>
              <w:t>,</w:t>
            </w:r>
            <w:r w:rsidRPr="007F12EC">
              <w:rPr>
                <w:szCs w:val="18"/>
              </w:rPr>
              <w:t xml:space="preserve"> Ibrahim </w:t>
            </w:r>
            <w:proofErr w:type="spellStart"/>
            <w:r w:rsidRPr="007F12EC">
              <w:rPr>
                <w:szCs w:val="18"/>
              </w:rPr>
              <w:t>Thabti</w:t>
            </w:r>
            <w:proofErr w:type="spellEnd"/>
            <w:r w:rsidRPr="007F12EC">
              <w:rPr>
                <w:szCs w:val="18"/>
              </w:rPr>
              <w:t xml:space="preserve"> </w:t>
            </w:r>
            <w:r w:rsidR="00895947">
              <w:rPr>
                <w:szCs w:val="18"/>
              </w:rPr>
              <w:t>and</w:t>
            </w:r>
            <w:r w:rsidRPr="007F12EC">
              <w:rPr>
                <w:szCs w:val="18"/>
              </w:rPr>
              <w:t xml:space="preserve"> </w:t>
            </w:r>
            <w:proofErr w:type="spellStart"/>
            <w:r w:rsidRPr="007F12EC">
              <w:rPr>
                <w:szCs w:val="18"/>
              </w:rPr>
              <w:t>Saïd</w:t>
            </w:r>
            <w:proofErr w:type="spellEnd"/>
            <w:r w:rsidRPr="007F12EC">
              <w:rPr>
                <w:szCs w:val="18"/>
              </w:rPr>
              <w:t xml:space="preserve"> </w:t>
            </w:r>
            <w:proofErr w:type="spellStart"/>
            <w:r w:rsidRPr="007F12EC">
              <w:rPr>
                <w:szCs w:val="18"/>
              </w:rPr>
              <w:t>Chibili</w:t>
            </w:r>
            <w:proofErr w:type="spellEnd"/>
            <w:r w:rsidRPr="007F12EC">
              <w:rPr>
                <w:szCs w:val="18"/>
              </w:rPr>
              <w:t>.</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 III</w:t>
            </w:r>
            <w:r w:rsidR="00CE0EF5" w:rsidRPr="007F12EC">
              <w:rPr>
                <w:szCs w:val="18"/>
              </w:rPr>
              <w:t xml:space="preserve"> </w:t>
            </w:r>
            <w:r w:rsidRPr="007F12EC">
              <w:rPr>
                <w:szCs w:val="18"/>
              </w:rPr>
              <w:t>and V</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40/2014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Turkmenistan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lang w:val="es-ES"/>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Arslannazar</w:t>
            </w:r>
            <w:proofErr w:type="spellEnd"/>
            <w:r w:rsidRPr="007F12EC">
              <w:rPr>
                <w:szCs w:val="18"/>
              </w:rPr>
              <w:t xml:space="preserve"> </w:t>
            </w:r>
            <w:proofErr w:type="spellStart"/>
            <w:r w:rsidRPr="007F12EC">
              <w:rPr>
                <w:szCs w:val="18"/>
              </w:rPr>
              <w:t>Nazarov</w:t>
            </w:r>
            <w:proofErr w:type="spellEnd"/>
            <w:r w:rsidRPr="007F12EC">
              <w:rPr>
                <w:szCs w:val="18"/>
              </w:rPr>
              <w:t xml:space="preserve"> and </w:t>
            </w:r>
            <w:proofErr w:type="spellStart"/>
            <w:r w:rsidRPr="007F12EC">
              <w:rPr>
                <w:szCs w:val="18"/>
              </w:rPr>
              <w:t>Bairamklich</w:t>
            </w:r>
            <w:proofErr w:type="spellEnd"/>
            <w:r w:rsidRPr="007F12EC">
              <w:rPr>
                <w:szCs w:val="18"/>
              </w:rPr>
              <w:t xml:space="preserve"> </w:t>
            </w:r>
            <w:proofErr w:type="spellStart"/>
            <w:r w:rsidRPr="007F12EC">
              <w:rPr>
                <w:szCs w:val="18"/>
              </w:rPr>
              <w:t>Khadzhiorazov</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41/2014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Thailand</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t>Patiwat</w:t>
            </w:r>
            <w:proofErr w:type="spellEnd"/>
            <w:r w:rsidRPr="007F12EC">
              <w:t xml:space="preserve"> </w:t>
            </w:r>
            <w:proofErr w:type="spellStart"/>
            <w:r w:rsidRPr="007F12EC">
              <w:t>Saraiyaem</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42/2014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Yemen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Tariq Saleh Saeed Abdullah </w:t>
            </w:r>
            <w:proofErr w:type="spellStart"/>
            <w:r w:rsidRPr="007F12EC">
              <w:rPr>
                <w:szCs w:val="18"/>
              </w:rPr>
              <w:t>Alamoodi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 and II</w:t>
            </w:r>
            <w:r w:rsidR="00C53332">
              <w:rPr>
                <w:szCs w:val="18"/>
              </w:rPr>
              <w:t>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43/2014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Israel</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Ahmad </w:t>
            </w:r>
            <w:proofErr w:type="spellStart"/>
            <w:r w:rsidRPr="007F12EC">
              <w:rPr>
                <w:szCs w:val="18"/>
              </w:rPr>
              <w:t>Ishraq</w:t>
            </w:r>
            <w:proofErr w:type="spellEnd"/>
            <w:r w:rsidRPr="007F12EC">
              <w:rPr>
                <w:szCs w:val="18"/>
              </w:rPr>
              <w:t xml:space="preserve"> </w:t>
            </w:r>
            <w:proofErr w:type="spellStart"/>
            <w:r w:rsidRPr="007F12EC">
              <w:rPr>
                <w:szCs w:val="18"/>
              </w:rPr>
              <w:t>Rimawi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w:t>
            </w:r>
            <w:r w:rsidRPr="007F12EC">
              <w:rPr>
                <w:szCs w:val="18"/>
              </w:rPr>
              <w:br/>
              <w:t>category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44/2014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Congo </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4141C1">
              <w:rPr>
                <w:spacing w:val="-2"/>
                <w:szCs w:val="18"/>
              </w:rPr>
              <w:t>Mbanza</w:t>
            </w:r>
            <w:proofErr w:type="spellEnd"/>
            <w:r w:rsidRPr="004141C1">
              <w:rPr>
                <w:spacing w:val="-2"/>
                <w:szCs w:val="18"/>
              </w:rPr>
              <w:t xml:space="preserve"> </w:t>
            </w:r>
            <w:proofErr w:type="spellStart"/>
            <w:r w:rsidRPr="004141C1">
              <w:rPr>
                <w:spacing w:val="-2"/>
                <w:szCs w:val="18"/>
              </w:rPr>
              <w:t>Judicaël</w:t>
            </w:r>
            <w:proofErr w:type="spellEnd"/>
            <w:r w:rsidRPr="004141C1">
              <w:rPr>
                <w:spacing w:val="-2"/>
                <w:szCs w:val="18"/>
              </w:rPr>
              <w:t xml:space="preserve">, </w:t>
            </w:r>
            <w:proofErr w:type="spellStart"/>
            <w:r w:rsidRPr="004141C1">
              <w:rPr>
                <w:spacing w:val="-2"/>
                <w:szCs w:val="18"/>
              </w:rPr>
              <w:t>Kimangou</w:t>
            </w:r>
            <w:proofErr w:type="spellEnd"/>
            <w:r w:rsidRPr="004141C1">
              <w:rPr>
                <w:spacing w:val="-2"/>
                <w:szCs w:val="18"/>
              </w:rPr>
              <w:t xml:space="preserve"> Joseph,</w:t>
            </w:r>
            <w:r w:rsidRPr="007F12EC">
              <w:rPr>
                <w:szCs w:val="18"/>
              </w:rPr>
              <w:t xml:space="preserve"> </w:t>
            </w:r>
            <w:proofErr w:type="spellStart"/>
            <w:r w:rsidRPr="007F12EC">
              <w:rPr>
                <w:szCs w:val="18"/>
              </w:rPr>
              <w:t>Miakamouna</w:t>
            </w:r>
            <w:proofErr w:type="spellEnd"/>
            <w:r w:rsidRPr="007F12EC">
              <w:rPr>
                <w:szCs w:val="18"/>
              </w:rPr>
              <w:t xml:space="preserve"> </w:t>
            </w:r>
            <w:proofErr w:type="spellStart"/>
            <w:r w:rsidRPr="007F12EC">
              <w:rPr>
                <w:szCs w:val="18"/>
              </w:rPr>
              <w:t>Nzingoula</w:t>
            </w:r>
            <w:proofErr w:type="spellEnd"/>
            <w:r w:rsidRPr="007F12EC">
              <w:rPr>
                <w:szCs w:val="18"/>
              </w:rPr>
              <w:t xml:space="preserve"> Sylvain, </w:t>
            </w:r>
            <w:proofErr w:type="spellStart"/>
            <w:r w:rsidRPr="007F12EC">
              <w:rPr>
                <w:szCs w:val="18"/>
              </w:rPr>
              <w:t>Bibila</w:t>
            </w:r>
            <w:proofErr w:type="spellEnd"/>
            <w:r w:rsidRPr="007F12EC">
              <w:rPr>
                <w:szCs w:val="18"/>
              </w:rPr>
              <w:t xml:space="preserve"> Gilbert, </w:t>
            </w:r>
            <w:proofErr w:type="spellStart"/>
            <w:r w:rsidRPr="007F12EC">
              <w:rPr>
                <w:szCs w:val="18"/>
              </w:rPr>
              <w:t>Mabiala</w:t>
            </w:r>
            <w:proofErr w:type="spellEnd"/>
            <w:r w:rsidRPr="007F12EC">
              <w:rPr>
                <w:szCs w:val="18"/>
              </w:rPr>
              <w:t xml:space="preserve"> </w:t>
            </w:r>
            <w:proofErr w:type="spellStart"/>
            <w:r w:rsidRPr="007F12EC">
              <w:rPr>
                <w:szCs w:val="18"/>
              </w:rPr>
              <w:t>Mpandzou</w:t>
            </w:r>
            <w:proofErr w:type="spellEnd"/>
            <w:r w:rsidRPr="007F12EC">
              <w:rPr>
                <w:szCs w:val="18"/>
              </w:rPr>
              <w:t xml:space="preserve"> Paul Marie, </w:t>
            </w:r>
            <w:proofErr w:type="spellStart"/>
            <w:r w:rsidRPr="007F12EC">
              <w:rPr>
                <w:szCs w:val="18"/>
              </w:rPr>
              <w:t>Tsiakala</w:t>
            </w:r>
            <w:proofErr w:type="spellEnd"/>
            <w:r w:rsidRPr="007F12EC">
              <w:rPr>
                <w:szCs w:val="18"/>
              </w:rPr>
              <w:t xml:space="preserve"> Valentin, </w:t>
            </w:r>
            <w:proofErr w:type="spellStart"/>
            <w:r w:rsidRPr="007F12EC">
              <w:rPr>
                <w:szCs w:val="18"/>
              </w:rPr>
              <w:t>Baboyi</w:t>
            </w:r>
            <w:proofErr w:type="spellEnd"/>
            <w:r w:rsidRPr="007F12EC">
              <w:rPr>
                <w:szCs w:val="18"/>
              </w:rPr>
              <w:t xml:space="preserve"> Antoine, </w:t>
            </w:r>
            <w:proofErr w:type="spellStart"/>
            <w:r w:rsidRPr="007F12EC">
              <w:rPr>
                <w:szCs w:val="18"/>
              </w:rPr>
              <w:t>Silaho</w:t>
            </w:r>
            <w:proofErr w:type="spellEnd"/>
            <w:r w:rsidRPr="007F12EC">
              <w:rPr>
                <w:szCs w:val="18"/>
              </w:rPr>
              <w:t xml:space="preserve"> René, </w:t>
            </w:r>
            <w:proofErr w:type="spellStart"/>
            <w:r w:rsidRPr="007F12EC">
              <w:rPr>
                <w:szCs w:val="18"/>
              </w:rPr>
              <w:t>Matimouna</w:t>
            </w:r>
            <w:proofErr w:type="spellEnd"/>
            <w:r w:rsidRPr="007F12EC">
              <w:rPr>
                <w:szCs w:val="18"/>
              </w:rPr>
              <w:t xml:space="preserve"> </w:t>
            </w:r>
            <w:proofErr w:type="spellStart"/>
            <w:r w:rsidRPr="007F12EC">
              <w:rPr>
                <w:szCs w:val="18"/>
              </w:rPr>
              <w:t>Mouyecket</w:t>
            </w:r>
            <w:proofErr w:type="spellEnd"/>
            <w:r w:rsidRPr="007F12EC">
              <w:rPr>
                <w:szCs w:val="18"/>
              </w:rPr>
              <w:t xml:space="preserve"> </w:t>
            </w:r>
            <w:proofErr w:type="spellStart"/>
            <w:r w:rsidRPr="007F12EC">
              <w:rPr>
                <w:szCs w:val="18"/>
              </w:rPr>
              <w:t>Euloge</w:t>
            </w:r>
            <w:proofErr w:type="spellEnd"/>
            <w:r w:rsidRPr="007F12EC">
              <w:rPr>
                <w:szCs w:val="18"/>
              </w:rPr>
              <w:t xml:space="preserve">, </w:t>
            </w:r>
            <w:proofErr w:type="spellStart"/>
            <w:r w:rsidRPr="007F12EC">
              <w:rPr>
                <w:szCs w:val="18"/>
              </w:rPr>
              <w:t>Kialounga</w:t>
            </w:r>
            <w:proofErr w:type="spellEnd"/>
            <w:r w:rsidRPr="007F12EC">
              <w:rPr>
                <w:szCs w:val="18"/>
              </w:rPr>
              <w:t xml:space="preserve"> Pierre </w:t>
            </w:r>
            <w:proofErr w:type="spellStart"/>
            <w:r w:rsidRPr="007F12EC">
              <w:rPr>
                <w:szCs w:val="18"/>
              </w:rPr>
              <w:t>Placide</w:t>
            </w:r>
            <w:proofErr w:type="spellEnd"/>
            <w:r w:rsidRPr="007F12EC">
              <w:rPr>
                <w:szCs w:val="18"/>
              </w:rPr>
              <w:t xml:space="preserve">, </w:t>
            </w:r>
            <w:proofErr w:type="spellStart"/>
            <w:r w:rsidRPr="007F12EC">
              <w:rPr>
                <w:szCs w:val="18"/>
              </w:rPr>
              <w:t>Tandou</w:t>
            </w:r>
            <w:proofErr w:type="spellEnd"/>
            <w:r w:rsidRPr="007F12EC">
              <w:rPr>
                <w:szCs w:val="18"/>
              </w:rPr>
              <w:t xml:space="preserve"> Jean Claude Davy, </w:t>
            </w:r>
            <w:proofErr w:type="spellStart"/>
            <w:r w:rsidRPr="007F12EC">
              <w:rPr>
                <w:szCs w:val="18"/>
              </w:rPr>
              <w:t>Ngoma</w:t>
            </w:r>
            <w:proofErr w:type="spellEnd"/>
            <w:r w:rsidRPr="007F12EC">
              <w:rPr>
                <w:szCs w:val="18"/>
              </w:rPr>
              <w:t xml:space="preserve"> Sylvain </w:t>
            </w:r>
            <w:proofErr w:type="spellStart"/>
            <w:r w:rsidRPr="007F12EC">
              <w:rPr>
                <w:szCs w:val="18"/>
              </w:rPr>
              <w:t>Privat</w:t>
            </w:r>
            <w:proofErr w:type="spellEnd"/>
            <w:r w:rsidRPr="007F12EC">
              <w:rPr>
                <w:szCs w:val="18"/>
              </w:rPr>
              <w:t xml:space="preserve">, </w:t>
            </w:r>
            <w:proofErr w:type="spellStart"/>
            <w:r w:rsidRPr="007F12EC">
              <w:rPr>
                <w:szCs w:val="18"/>
              </w:rPr>
              <w:t>Banangouna</w:t>
            </w:r>
            <w:proofErr w:type="spellEnd"/>
            <w:r w:rsidRPr="007F12EC">
              <w:rPr>
                <w:szCs w:val="18"/>
              </w:rPr>
              <w:t xml:space="preserve"> Dominique </w:t>
            </w:r>
            <w:proofErr w:type="spellStart"/>
            <w:r w:rsidRPr="007F12EC">
              <w:rPr>
                <w:szCs w:val="18"/>
              </w:rPr>
              <w:t>Mesmin</w:t>
            </w:r>
            <w:proofErr w:type="spellEnd"/>
            <w:r w:rsidR="00DB1195">
              <w:rPr>
                <w:szCs w:val="18"/>
              </w:rPr>
              <w:t xml:space="preserve"> and</w:t>
            </w:r>
            <w:r w:rsidRPr="007F12EC">
              <w:rPr>
                <w:szCs w:val="18"/>
              </w:rPr>
              <w:t xml:space="preserve"> </w:t>
            </w:r>
            <w:proofErr w:type="spellStart"/>
            <w:r w:rsidRPr="007F12EC">
              <w:rPr>
                <w:szCs w:val="18"/>
              </w:rPr>
              <w:t>Loudhet</w:t>
            </w:r>
            <w:proofErr w:type="spellEnd"/>
            <w:r w:rsidRPr="007F12EC">
              <w:rPr>
                <w:szCs w:val="18"/>
              </w:rPr>
              <w:t xml:space="preserve"> Moussa Landry</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w:t>
            </w:r>
            <w:r w:rsidRPr="007F12EC">
              <w:rPr>
                <w:szCs w:val="18"/>
              </w:rPr>
              <w:br/>
              <w:t>categories I, II and III</w:t>
            </w:r>
          </w:p>
        </w:tc>
      </w:tr>
      <w:tr w:rsidR="00F17733" w:rsidRPr="007F12EC" w:rsidTr="002B6C29">
        <w:trPr>
          <w:cantSplit/>
          <w:trHeight w:val="80"/>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45/2014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Togo</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Kpatcha</w:t>
            </w:r>
            <w:proofErr w:type="spellEnd"/>
            <w:r w:rsidRPr="007F12EC">
              <w:rPr>
                <w:szCs w:val="18"/>
              </w:rPr>
              <w:t xml:space="preserve"> </w:t>
            </w:r>
            <w:proofErr w:type="spellStart"/>
            <w:r w:rsidRPr="007F12EC">
              <w:rPr>
                <w:szCs w:val="18"/>
              </w:rPr>
              <w:t>Gnassingbe</w:t>
            </w:r>
            <w:proofErr w:type="spellEnd"/>
            <w:r w:rsidR="00DB1195">
              <w:rPr>
                <w:szCs w:val="18"/>
              </w:rPr>
              <w:t>,</w:t>
            </w:r>
            <w:r w:rsidRPr="007F12EC">
              <w:rPr>
                <w:szCs w:val="18"/>
              </w:rPr>
              <w:t xml:space="preserve"> </w:t>
            </w:r>
            <w:proofErr w:type="spellStart"/>
            <w:r w:rsidRPr="007F12EC">
              <w:rPr>
                <w:szCs w:val="18"/>
              </w:rPr>
              <w:t>Ougbakiti</w:t>
            </w:r>
            <w:proofErr w:type="spellEnd"/>
            <w:r w:rsidRPr="007F12EC">
              <w:rPr>
                <w:szCs w:val="18"/>
              </w:rPr>
              <w:t xml:space="preserve"> </w:t>
            </w:r>
            <w:proofErr w:type="spellStart"/>
            <w:r w:rsidRPr="007F12EC">
              <w:rPr>
                <w:szCs w:val="18"/>
              </w:rPr>
              <w:t>Seïdou</w:t>
            </w:r>
            <w:proofErr w:type="spellEnd"/>
            <w:r w:rsidRPr="007F12EC">
              <w:rPr>
                <w:szCs w:val="18"/>
              </w:rPr>
              <w:t xml:space="preserve">, </w:t>
            </w:r>
            <w:proofErr w:type="spellStart"/>
            <w:r w:rsidRPr="007F12EC">
              <w:rPr>
                <w:szCs w:val="18"/>
              </w:rPr>
              <w:t>Essozimma</w:t>
            </w:r>
            <w:proofErr w:type="spellEnd"/>
            <w:r w:rsidRPr="007F12EC">
              <w:rPr>
                <w:szCs w:val="18"/>
              </w:rPr>
              <w:t xml:space="preserve"> (Esso) </w:t>
            </w:r>
            <w:proofErr w:type="spellStart"/>
            <w:r w:rsidRPr="007F12EC">
              <w:rPr>
                <w:szCs w:val="18"/>
              </w:rPr>
              <w:t>Gnassingbe</w:t>
            </w:r>
            <w:proofErr w:type="spellEnd"/>
            <w:r w:rsidR="00DB1195">
              <w:rPr>
                <w:szCs w:val="18"/>
              </w:rPr>
              <w:t>,</w:t>
            </w:r>
            <w:r w:rsidRPr="007F12EC">
              <w:rPr>
                <w:szCs w:val="18"/>
              </w:rPr>
              <w:t xml:space="preserve"> Abi </w:t>
            </w:r>
            <w:proofErr w:type="spellStart"/>
            <w:r w:rsidRPr="007F12EC">
              <w:rPr>
                <w:szCs w:val="18"/>
              </w:rPr>
              <w:t>Atti</w:t>
            </w:r>
            <w:proofErr w:type="spellEnd"/>
            <w:r w:rsidR="00DB1195">
              <w:rPr>
                <w:szCs w:val="18"/>
              </w:rPr>
              <w:t>,</w:t>
            </w:r>
            <w:r w:rsidRPr="007F12EC">
              <w:rPr>
                <w:szCs w:val="18"/>
              </w:rPr>
              <w:t xml:space="preserve"> </w:t>
            </w:r>
            <w:proofErr w:type="spellStart"/>
            <w:r w:rsidRPr="007F12EC">
              <w:rPr>
                <w:szCs w:val="18"/>
              </w:rPr>
              <w:t>Soudou</w:t>
            </w:r>
            <w:proofErr w:type="spellEnd"/>
            <w:r w:rsidRPr="007F12EC">
              <w:rPr>
                <w:szCs w:val="18"/>
              </w:rPr>
              <w:t xml:space="preserve"> </w:t>
            </w:r>
            <w:proofErr w:type="spellStart"/>
            <w:r w:rsidRPr="007F12EC">
              <w:rPr>
                <w:szCs w:val="18"/>
              </w:rPr>
              <w:t>Tchinguilou</w:t>
            </w:r>
            <w:proofErr w:type="spellEnd"/>
            <w:r w:rsidR="00DB1195">
              <w:rPr>
                <w:szCs w:val="18"/>
              </w:rPr>
              <w:t>,</w:t>
            </w:r>
            <w:r w:rsidRPr="007F12EC">
              <w:rPr>
                <w:szCs w:val="18"/>
              </w:rPr>
              <w:t xml:space="preserve"> </w:t>
            </w:r>
            <w:proofErr w:type="spellStart"/>
            <w:r w:rsidRPr="007F12EC">
              <w:rPr>
                <w:szCs w:val="18"/>
              </w:rPr>
              <w:t>Kokou</w:t>
            </w:r>
            <w:proofErr w:type="spellEnd"/>
            <w:r w:rsidRPr="007F12EC">
              <w:rPr>
                <w:szCs w:val="18"/>
              </w:rPr>
              <w:t xml:space="preserve"> </w:t>
            </w:r>
            <w:proofErr w:type="spellStart"/>
            <w:r w:rsidRPr="007F12EC">
              <w:rPr>
                <w:szCs w:val="18"/>
              </w:rPr>
              <w:t>Tchaa</w:t>
            </w:r>
            <w:proofErr w:type="spellEnd"/>
            <w:r w:rsidRPr="007F12EC">
              <w:rPr>
                <w:szCs w:val="18"/>
              </w:rPr>
              <w:t xml:space="preserve"> </w:t>
            </w:r>
            <w:proofErr w:type="spellStart"/>
            <w:r w:rsidRPr="007F12EC">
              <w:rPr>
                <w:szCs w:val="18"/>
              </w:rPr>
              <w:t>Dontema</w:t>
            </w:r>
            <w:proofErr w:type="spellEnd"/>
            <w:r w:rsidR="00DB1195">
              <w:rPr>
                <w:szCs w:val="18"/>
              </w:rPr>
              <w:t xml:space="preserve"> and</w:t>
            </w:r>
            <w:r w:rsidRPr="007F12EC">
              <w:rPr>
                <w:szCs w:val="18"/>
              </w:rPr>
              <w:t xml:space="preserve"> </w:t>
            </w:r>
            <w:proofErr w:type="spellStart"/>
            <w:r w:rsidRPr="007F12EC">
              <w:rPr>
                <w:szCs w:val="18"/>
              </w:rPr>
              <w:t>Efoé</w:t>
            </w:r>
            <w:proofErr w:type="spellEnd"/>
            <w:r w:rsidRPr="007F12EC">
              <w:rPr>
                <w:szCs w:val="18"/>
              </w:rPr>
              <w:t xml:space="preserve"> </w:t>
            </w:r>
            <w:proofErr w:type="spellStart"/>
            <w:r w:rsidRPr="007F12EC">
              <w:rPr>
                <w:szCs w:val="18"/>
              </w:rPr>
              <w:t>Sassouvi</w:t>
            </w:r>
            <w:proofErr w:type="spellEnd"/>
            <w:r w:rsidRPr="007F12EC">
              <w:rPr>
                <w:szCs w:val="18"/>
              </w:rPr>
              <w:t xml:space="preserve"> </w:t>
            </w:r>
            <w:proofErr w:type="spellStart"/>
            <w:r w:rsidRPr="007F12EC">
              <w:rPr>
                <w:szCs w:val="18"/>
              </w:rPr>
              <w:t>Sassou</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w:t>
            </w:r>
            <w:r w:rsidRPr="007F12EC">
              <w:rPr>
                <w:szCs w:val="18"/>
              </w:rPr>
              <w:br/>
              <w:t>category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46/2014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Cameroon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Christophe </w:t>
            </w:r>
            <w:proofErr w:type="spellStart"/>
            <w:r w:rsidRPr="007F12EC">
              <w:rPr>
                <w:szCs w:val="18"/>
              </w:rPr>
              <w:t>Désiré</w:t>
            </w:r>
            <w:proofErr w:type="spellEnd"/>
            <w:r w:rsidRPr="007F12EC">
              <w:rPr>
                <w:szCs w:val="18"/>
              </w:rPr>
              <w:t xml:space="preserve"> </w:t>
            </w:r>
            <w:proofErr w:type="spellStart"/>
            <w:r w:rsidRPr="007F12EC">
              <w:rPr>
                <w:szCs w:val="18"/>
              </w:rPr>
              <w:t>Bengono</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47/2014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Yemen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lang w:val="es-ES"/>
              </w:rPr>
            </w:pPr>
            <w:proofErr w:type="spellStart"/>
            <w:r w:rsidRPr="007F12EC">
              <w:rPr>
                <w:szCs w:val="18"/>
                <w:lang w:val="es-ES"/>
              </w:rPr>
              <w:t>Nadeer</w:t>
            </w:r>
            <w:proofErr w:type="spellEnd"/>
            <w:r w:rsidRPr="007F12EC">
              <w:rPr>
                <w:szCs w:val="18"/>
                <w:lang w:val="es-ES"/>
              </w:rPr>
              <w:t xml:space="preserve"> </w:t>
            </w:r>
            <w:proofErr w:type="spellStart"/>
            <w:r w:rsidRPr="007F12EC">
              <w:rPr>
                <w:szCs w:val="18"/>
                <w:lang w:val="es-ES"/>
              </w:rPr>
              <w:t>Saleh</w:t>
            </w:r>
            <w:proofErr w:type="spellEnd"/>
            <w:r w:rsidRPr="007F12EC">
              <w:rPr>
                <w:szCs w:val="18"/>
                <w:lang w:val="es-ES"/>
              </w:rPr>
              <w:t xml:space="preserve"> </w:t>
            </w:r>
            <w:proofErr w:type="spellStart"/>
            <w:r w:rsidRPr="007F12EC">
              <w:rPr>
                <w:szCs w:val="18"/>
                <w:lang w:val="es-ES"/>
              </w:rPr>
              <w:t>Mohseen</w:t>
            </w:r>
            <w:proofErr w:type="spellEnd"/>
            <w:r w:rsidRPr="007F12EC">
              <w:rPr>
                <w:szCs w:val="18"/>
                <w:lang w:val="es-ES"/>
              </w:rPr>
              <w:t xml:space="preserve"> </w:t>
            </w:r>
            <w:proofErr w:type="spellStart"/>
            <w:r w:rsidRPr="007F12EC">
              <w:rPr>
                <w:szCs w:val="18"/>
                <w:lang w:val="es-ES"/>
              </w:rPr>
              <w:t>Saleh</w:t>
            </w:r>
            <w:proofErr w:type="spellEnd"/>
            <w:r w:rsidRPr="007F12EC">
              <w:rPr>
                <w:szCs w:val="18"/>
                <w:lang w:val="es-ES"/>
              </w:rPr>
              <w:t xml:space="preserve"> Al</w:t>
            </w:r>
            <w:r w:rsidR="000B3CC7">
              <w:rPr>
                <w:szCs w:val="18"/>
                <w:lang w:val="es-ES"/>
              </w:rPr>
              <w:t> </w:t>
            </w:r>
            <w:proofErr w:type="spellStart"/>
            <w:r w:rsidRPr="007F12EC">
              <w:rPr>
                <w:szCs w:val="18"/>
                <w:lang w:val="es-ES"/>
              </w:rPr>
              <w:t>Yafei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w:t>
            </w:r>
            <w:r w:rsidRPr="007F12EC">
              <w:rPr>
                <w:szCs w:val="18"/>
              </w:rPr>
              <w:br/>
              <w:t>category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48/2014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Lebanon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4141C1" w:rsidRDefault="00F17733" w:rsidP="00BF4AF9">
            <w:pPr>
              <w:pStyle w:val="SingleTxtG"/>
              <w:suppressAutoHyphens w:val="0"/>
              <w:spacing w:before="40" w:line="220" w:lineRule="exact"/>
              <w:ind w:left="0" w:right="0"/>
              <w:jc w:val="left"/>
              <w:rPr>
                <w:szCs w:val="18"/>
                <w:lang w:val="it-IT"/>
              </w:rPr>
            </w:pPr>
            <w:r w:rsidRPr="004141C1">
              <w:rPr>
                <w:szCs w:val="18"/>
                <w:lang w:val="it-IT"/>
              </w:rPr>
              <w:t>Tarek Mostafa Marei and Abdel Karim Al Mustafa</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w:t>
            </w:r>
            <w:r w:rsidRPr="007F12EC">
              <w:rPr>
                <w:szCs w:val="18"/>
              </w:rPr>
              <w:br/>
              <w:t>categories 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49/2014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China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pPr>
              <w:pStyle w:val="SingleTxtG"/>
              <w:suppressAutoHyphens w:val="0"/>
              <w:spacing w:before="40" w:line="220" w:lineRule="exact"/>
              <w:ind w:left="0" w:right="0"/>
              <w:jc w:val="left"/>
              <w:rPr>
                <w:szCs w:val="18"/>
              </w:rPr>
            </w:pPr>
            <w:r w:rsidRPr="007F12EC">
              <w:rPr>
                <w:szCs w:val="18"/>
              </w:rPr>
              <w:t xml:space="preserve">Jingling Tang, </w:t>
            </w:r>
            <w:proofErr w:type="spellStart"/>
            <w:r w:rsidRPr="007F12EC">
              <w:rPr>
                <w:szCs w:val="18"/>
              </w:rPr>
              <w:t>Qingying</w:t>
            </w:r>
            <w:proofErr w:type="spellEnd"/>
            <w:r w:rsidRPr="007F12EC">
              <w:rPr>
                <w:szCs w:val="18"/>
              </w:rPr>
              <w:t xml:space="preserve"> Wang and</w:t>
            </w:r>
            <w:r w:rsidR="000B3CC7">
              <w:rPr>
                <w:szCs w:val="18"/>
              </w:rPr>
              <w:t> </w:t>
            </w:r>
            <w:proofErr w:type="spellStart"/>
            <w:r w:rsidRPr="007F12EC">
              <w:rPr>
                <w:szCs w:val="18"/>
              </w:rPr>
              <w:t>Xinting</w:t>
            </w:r>
            <w:proofErr w:type="spellEnd"/>
            <w:r w:rsidRPr="007F12EC">
              <w:rPr>
                <w:szCs w:val="18"/>
              </w:rPr>
              <w:t xml:space="preserve"> Yuan</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50/2014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U</w:t>
            </w:r>
            <w:r w:rsidR="00A16B7A">
              <w:rPr>
                <w:szCs w:val="18"/>
              </w:rPr>
              <w:t>nited States of America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t>Yes</w:t>
            </w:r>
            <w:r w:rsidRPr="007F12EC">
              <w:br/>
              <w:t xml:space="preserve">The Government of Cuba replied after the adoption of the </w:t>
            </w:r>
            <w:r w:rsidR="008000A7">
              <w:t>o</w:t>
            </w:r>
            <w:r w:rsidRPr="007F12EC">
              <w:t>pinion.</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t xml:space="preserve">Mustafa al </w:t>
            </w:r>
            <w:proofErr w:type="spellStart"/>
            <w:r w:rsidRPr="007F12EC">
              <w:t>Hawsawi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w:t>
            </w:r>
            <w:r w:rsidRPr="007F12EC">
              <w:rPr>
                <w:szCs w:val="18"/>
              </w:rPr>
              <w:br/>
              <w:t xml:space="preserve">categories </w:t>
            </w:r>
            <w:r w:rsidRPr="007F12EC">
              <w:t>I, III and V</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51/2014</w:t>
            </w:r>
          </w:p>
        </w:tc>
        <w:tc>
          <w:tcPr>
            <w:tcW w:w="1247" w:type="dxa"/>
            <w:shd w:val="clear" w:color="auto" w:fill="auto"/>
          </w:tcPr>
          <w:p w:rsidR="00F17733" w:rsidRPr="007F12EC" w:rsidRDefault="00B948AA" w:rsidP="00275393">
            <w:pPr>
              <w:pStyle w:val="SingleTxtG"/>
              <w:suppressAutoHyphens w:val="0"/>
              <w:spacing w:before="40" w:line="220" w:lineRule="exact"/>
              <w:ind w:left="0" w:right="0"/>
              <w:jc w:val="left"/>
              <w:rPr>
                <w:szCs w:val="18"/>
              </w:rPr>
            </w:pPr>
            <w:r w:rsidRPr="007F12EC">
              <w:rPr>
                <w:szCs w:val="18"/>
                <w:lang w:val="fr-CH"/>
              </w:rPr>
              <w:t>Bolivarian Republic of</w:t>
            </w:r>
            <w:r w:rsidRPr="007F12EC">
              <w:rPr>
                <w:szCs w:val="18"/>
              </w:rPr>
              <w:t xml:space="preserve"> </w:t>
            </w:r>
            <w:r w:rsidR="00F17733" w:rsidRPr="007F12EC">
              <w:rPr>
                <w:szCs w:val="18"/>
              </w:rPr>
              <w:t>Venezuela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4141C1" w:rsidRDefault="00F17733" w:rsidP="00BF4AF9">
            <w:pPr>
              <w:pStyle w:val="SingleTxtG"/>
              <w:suppressAutoHyphens w:val="0"/>
              <w:spacing w:before="40" w:line="220" w:lineRule="exact"/>
              <w:ind w:left="0" w:right="0"/>
              <w:jc w:val="left"/>
              <w:rPr>
                <w:szCs w:val="18"/>
                <w:lang w:val="it-IT"/>
              </w:rPr>
            </w:pPr>
            <w:r w:rsidRPr="004141C1">
              <w:rPr>
                <w:szCs w:val="18"/>
                <w:lang w:val="it-IT"/>
              </w:rPr>
              <w:t>Maikel Giovanni Rondón Romero and 316 other persons</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52/2014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Aust</w:t>
            </w:r>
            <w:r w:rsidR="001038EF" w:rsidRPr="007F12EC">
              <w:rPr>
                <w:szCs w:val="18"/>
              </w:rPr>
              <w:t>r</w:t>
            </w:r>
            <w:r w:rsidRPr="007F12EC">
              <w:rPr>
                <w:szCs w:val="18"/>
              </w:rPr>
              <w:t>alia/</w:t>
            </w:r>
            <w:r w:rsidR="001038EF" w:rsidRPr="007F12EC">
              <w:rPr>
                <w:szCs w:val="18"/>
              </w:rPr>
              <w:t xml:space="preserve"> </w:t>
            </w:r>
            <w:r w:rsidR="001038EF" w:rsidRPr="007F12EC">
              <w:rPr>
                <w:szCs w:val="18"/>
              </w:rPr>
              <w:br/>
            </w:r>
            <w:r w:rsidRPr="007F12EC">
              <w:rPr>
                <w:szCs w:val="18"/>
              </w:rPr>
              <w:t>Papua New Guinea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Reza </w:t>
            </w:r>
            <w:proofErr w:type="spellStart"/>
            <w:r w:rsidRPr="007F12EC">
              <w:rPr>
                <w:szCs w:val="18"/>
              </w:rPr>
              <w:t>Raeesi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IV</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53/2014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Oman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Talib</w:t>
            </w:r>
            <w:proofErr w:type="spellEnd"/>
            <w:r w:rsidRPr="007F12EC">
              <w:rPr>
                <w:szCs w:val="18"/>
              </w:rPr>
              <w:t xml:space="preserve"> Ahmad Al </w:t>
            </w:r>
            <w:proofErr w:type="spellStart"/>
            <w:r w:rsidRPr="007F12EC">
              <w:rPr>
                <w:szCs w:val="18"/>
              </w:rPr>
              <w:t>Mamari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categories II and III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54/2014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Oman</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Sagr</w:t>
            </w:r>
            <w:proofErr w:type="spellEnd"/>
            <w:r w:rsidRPr="007F12EC">
              <w:rPr>
                <w:szCs w:val="18"/>
              </w:rPr>
              <w:t xml:space="preserve"> Mohamed Al </w:t>
            </w:r>
            <w:proofErr w:type="spellStart"/>
            <w:r w:rsidRPr="007F12EC">
              <w:rPr>
                <w:szCs w:val="18"/>
              </w:rPr>
              <w:t>Balloushi</w:t>
            </w:r>
            <w:proofErr w:type="spellEnd"/>
            <w:r w:rsidRPr="007F12EC">
              <w:rPr>
                <w:szCs w:val="18"/>
              </w:rPr>
              <w:t xml:space="preserve">, Said </w:t>
            </w:r>
            <w:r w:rsidRPr="004141C1">
              <w:rPr>
                <w:spacing w:val="-2"/>
                <w:szCs w:val="18"/>
              </w:rPr>
              <w:t xml:space="preserve">Hamid Al </w:t>
            </w:r>
            <w:proofErr w:type="spellStart"/>
            <w:r w:rsidRPr="004141C1">
              <w:rPr>
                <w:spacing w:val="-2"/>
                <w:szCs w:val="18"/>
              </w:rPr>
              <w:t>Meqbaly</w:t>
            </w:r>
            <w:proofErr w:type="spellEnd"/>
            <w:r w:rsidRPr="004141C1">
              <w:rPr>
                <w:spacing w:val="-2"/>
                <w:szCs w:val="18"/>
              </w:rPr>
              <w:t xml:space="preserve">, </w:t>
            </w:r>
            <w:proofErr w:type="spellStart"/>
            <w:r w:rsidRPr="004141C1">
              <w:rPr>
                <w:spacing w:val="-2"/>
                <w:szCs w:val="18"/>
              </w:rPr>
              <w:t>Tallal</w:t>
            </w:r>
            <w:proofErr w:type="spellEnd"/>
            <w:r w:rsidRPr="004141C1">
              <w:rPr>
                <w:spacing w:val="-2"/>
                <w:szCs w:val="18"/>
              </w:rPr>
              <w:t xml:space="preserve"> </w:t>
            </w:r>
            <w:proofErr w:type="spellStart"/>
            <w:r w:rsidRPr="004141C1">
              <w:rPr>
                <w:spacing w:val="-2"/>
                <w:szCs w:val="18"/>
              </w:rPr>
              <w:t>Moubarak</w:t>
            </w:r>
            <w:proofErr w:type="spellEnd"/>
            <w:r w:rsidRPr="007F12EC">
              <w:rPr>
                <w:szCs w:val="18"/>
              </w:rPr>
              <w:t xml:space="preserve"> Al </w:t>
            </w:r>
            <w:proofErr w:type="spellStart"/>
            <w:r w:rsidRPr="007F12EC">
              <w:rPr>
                <w:szCs w:val="18"/>
              </w:rPr>
              <w:t>Meqbaly</w:t>
            </w:r>
            <w:proofErr w:type="spellEnd"/>
            <w:r w:rsidRPr="007F12EC">
              <w:rPr>
                <w:szCs w:val="18"/>
              </w:rPr>
              <w:t xml:space="preserve">, </w:t>
            </w:r>
            <w:proofErr w:type="spellStart"/>
            <w:r w:rsidRPr="007F12EC">
              <w:rPr>
                <w:szCs w:val="18"/>
              </w:rPr>
              <w:t>Khamis</w:t>
            </w:r>
            <w:proofErr w:type="spellEnd"/>
            <w:r w:rsidRPr="007F12EC">
              <w:rPr>
                <w:szCs w:val="18"/>
              </w:rPr>
              <w:t xml:space="preserve"> </w:t>
            </w:r>
            <w:proofErr w:type="spellStart"/>
            <w:r w:rsidRPr="007F12EC">
              <w:rPr>
                <w:szCs w:val="18"/>
              </w:rPr>
              <w:t>Kassif</w:t>
            </w:r>
            <w:proofErr w:type="spellEnd"/>
            <w:r w:rsidRPr="007F12EC">
              <w:rPr>
                <w:szCs w:val="18"/>
              </w:rPr>
              <w:t xml:space="preserve"> Al </w:t>
            </w:r>
            <w:proofErr w:type="spellStart"/>
            <w:r w:rsidRPr="007F12EC">
              <w:rPr>
                <w:szCs w:val="18"/>
              </w:rPr>
              <w:t>Mamari</w:t>
            </w:r>
            <w:proofErr w:type="spellEnd"/>
            <w:r w:rsidRPr="007F12EC">
              <w:rPr>
                <w:szCs w:val="18"/>
              </w:rPr>
              <w:t xml:space="preserve">, Abdurrahman </w:t>
            </w:r>
            <w:proofErr w:type="spellStart"/>
            <w:r w:rsidRPr="007F12EC">
              <w:rPr>
                <w:szCs w:val="18"/>
              </w:rPr>
              <w:t>Rashed</w:t>
            </w:r>
            <w:proofErr w:type="spellEnd"/>
            <w:r w:rsidRPr="007F12EC">
              <w:rPr>
                <w:szCs w:val="18"/>
              </w:rPr>
              <w:t xml:space="preserve"> Al </w:t>
            </w:r>
            <w:proofErr w:type="spellStart"/>
            <w:r w:rsidRPr="007F12EC">
              <w:rPr>
                <w:szCs w:val="18"/>
              </w:rPr>
              <w:t>Ghafili</w:t>
            </w:r>
            <w:proofErr w:type="spellEnd"/>
            <w:r w:rsidRPr="007F12EC">
              <w:rPr>
                <w:szCs w:val="18"/>
              </w:rPr>
              <w:t xml:space="preserve">, Abdullah Saleh Al </w:t>
            </w:r>
            <w:proofErr w:type="spellStart"/>
            <w:r w:rsidRPr="007F12EC">
              <w:rPr>
                <w:szCs w:val="18"/>
              </w:rPr>
              <w:t>Mamari</w:t>
            </w:r>
            <w:proofErr w:type="spellEnd"/>
            <w:r w:rsidRPr="007F12EC">
              <w:rPr>
                <w:szCs w:val="18"/>
              </w:rPr>
              <w:t xml:space="preserve">, Abdullah Hassan Al </w:t>
            </w:r>
            <w:proofErr w:type="spellStart"/>
            <w:r w:rsidRPr="007F12EC">
              <w:rPr>
                <w:szCs w:val="18"/>
              </w:rPr>
              <w:t>Balloushi</w:t>
            </w:r>
            <w:proofErr w:type="spellEnd"/>
            <w:r w:rsidRPr="007F12EC">
              <w:rPr>
                <w:szCs w:val="18"/>
              </w:rPr>
              <w:t xml:space="preserve">, </w:t>
            </w:r>
            <w:proofErr w:type="spellStart"/>
            <w:r w:rsidRPr="007F12EC">
              <w:rPr>
                <w:szCs w:val="18"/>
              </w:rPr>
              <w:t>Badr</w:t>
            </w:r>
            <w:proofErr w:type="spellEnd"/>
            <w:r w:rsidRPr="007F12EC">
              <w:rPr>
                <w:szCs w:val="18"/>
              </w:rPr>
              <w:t xml:space="preserve"> Mohamed Al </w:t>
            </w:r>
            <w:proofErr w:type="spellStart"/>
            <w:r w:rsidRPr="007F12EC">
              <w:rPr>
                <w:szCs w:val="18"/>
              </w:rPr>
              <w:t>Mamari</w:t>
            </w:r>
            <w:proofErr w:type="spellEnd"/>
            <w:r w:rsidRPr="007F12EC">
              <w:rPr>
                <w:szCs w:val="18"/>
              </w:rPr>
              <w:t xml:space="preserve"> and </w:t>
            </w:r>
            <w:proofErr w:type="spellStart"/>
            <w:r w:rsidRPr="007F12EC">
              <w:rPr>
                <w:szCs w:val="18"/>
              </w:rPr>
              <w:t>Abdulmajid</w:t>
            </w:r>
            <w:proofErr w:type="spellEnd"/>
            <w:r w:rsidRPr="007F12EC">
              <w:rPr>
                <w:szCs w:val="18"/>
              </w:rPr>
              <w:t xml:space="preserve"> </w:t>
            </w:r>
            <w:proofErr w:type="spellStart"/>
            <w:r w:rsidRPr="007F12EC">
              <w:rPr>
                <w:szCs w:val="18"/>
              </w:rPr>
              <w:t>Sarhan</w:t>
            </w:r>
            <w:proofErr w:type="spellEnd"/>
            <w:r w:rsidRPr="007F12EC">
              <w:rPr>
                <w:szCs w:val="18"/>
              </w:rPr>
              <w:t xml:space="preserve"> Al </w:t>
            </w:r>
            <w:proofErr w:type="spellStart"/>
            <w:r w:rsidRPr="007F12EC">
              <w:rPr>
                <w:szCs w:val="18"/>
              </w:rPr>
              <w:t>Ghafili</w:t>
            </w:r>
            <w:proofErr w:type="spellEnd"/>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Detention arbitrary, </w:t>
            </w:r>
            <w:r w:rsidRPr="007F12EC">
              <w:rPr>
                <w:szCs w:val="18"/>
              </w:rPr>
              <w:br/>
              <w:t>category II</w:t>
            </w:r>
          </w:p>
        </w:tc>
      </w:tr>
      <w:tr w:rsidR="00F17733" w:rsidRPr="007F12EC" w:rsidTr="002B6C29">
        <w:trPr>
          <w:cantSplit/>
          <w:trHeight w:val="381"/>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55/2014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China</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proofErr w:type="spellStart"/>
            <w:r w:rsidRPr="007F12EC">
              <w:rPr>
                <w:szCs w:val="18"/>
              </w:rPr>
              <w:t>Ziyuan</w:t>
            </w:r>
            <w:proofErr w:type="spellEnd"/>
            <w:r w:rsidRPr="007F12EC">
              <w:rPr>
                <w:szCs w:val="18"/>
              </w:rPr>
              <w:t xml:space="preserve"> Ren</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Case filed</w:t>
            </w:r>
          </w:p>
        </w:tc>
      </w:tr>
      <w:tr w:rsidR="00F17733" w:rsidRPr="007F12EC" w:rsidTr="002B6C29">
        <w:trPr>
          <w:cantSplit/>
          <w:trHeight w:val="794"/>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56/2014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United Arab Emirates</w:t>
            </w:r>
          </w:p>
        </w:tc>
        <w:tc>
          <w:tcPr>
            <w:tcW w:w="1418"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Yes</w:t>
            </w:r>
          </w:p>
        </w:tc>
        <w:tc>
          <w:tcPr>
            <w:tcW w:w="3005"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 xml:space="preserve">Saleh </w:t>
            </w:r>
            <w:proofErr w:type="spellStart"/>
            <w:r w:rsidRPr="007F12EC">
              <w:rPr>
                <w:szCs w:val="18"/>
              </w:rPr>
              <w:t>Farag</w:t>
            </w:r>
            <w:proofErr w:type="spellEnd"/>
            <w:r w:rsidRPr="007F12EC">
              <w:rPr>
                <w:szCs w:val="18"/>
              </w:rPr>
              <w:t xml:space="preserve"> </w:t>
            </w:r>
            <w:proofErr w:type="spellStart"/>
            <w:r w:rsidRPr="007F12EC">
              <w:rPr>
                <w:szCs w:val="18"/>
              </w:rPr>
              <w:t>Dhaifullah</w:t>
            </w:r>
            <w:proofErr w:type="spellEnd"/>
            <w:r w:rsidR="00B5410F">
              <w:rPr>
                <w:szCs w:val="18"/>
              </w:rPr>
              <w:t>,</w:t>
            </w:r>
            <w:r w:rsidRPr="007F12EC">
              <w:rPr>
                <w:szCs w:val="18"/>
              </w:rPr>
              <w:t xml:space="preserve"> Ibrahim </w:t>
            </w:r>
            <w:proofErr w:type="spellStart"/>
            <w:r w:rsidRPr="007F12EC">
              <w:rPr>
                <w:szCs w:val="18"/>
              </w:rPr>
              <w:t>Abdulaziz</w:t>
            </w:r>
            <w:proofErr w:type="spellEnd"/>
            <w:r w:rsidRPr="007F12EC">
              <w:rPr>
                <w:szCs w:val="18"/>
              </w:rPr>
              <w:t xml:space="preserve"> Ibrahim Ahmad</w:t>
            </w:r>
            <w:r w:rsidR="00B5410F">
              <w:rPr>
                <w:szCs w:val="18"/>
              </w:rPr>
              <w:t>,</w:t>
            </w:r>
            <w:r w:rsidRPr="007F12EC">
              <w:rPr>
                <w:szCs w:val="18"/>
              </w:rPr>
              <w:t xml:space="preserve"> Mohamed </w:t>
            </w:r>
            <w:proofErr w:type="spellStart"/>
            <w:r w:rsidRPr="007F12EC">
              <w:rPr>
                <w:szCs w:val="18"/>
              </w:rPr>
              <w:t>Adulmoneim</w:t>
            </w:r>
            <w:proofErr w:type="spellEnd"/>
            <w:r w:rsidRPr="007F12EC">
              <w:rPr>
                <w:szCs w:val="18"/>
              </w:rPr>
              <w:t xml:space="preserve"> Mohamed Mahmoud</w:t>
            </w:r>
            <w:r w:rsidR="00B5410F">
              <w:rPr>
                <w:szCs w:val="18"/>
              </w:rPr>
              <w:t>,</w:t>
            </w:r>
            <w:r w:rsidRPr="007F12EC">
              <w:rPr>
                <w:szCs w:val="18"/>
              </w:rPr>
              <w:t xml:space="preserve"> Ahmad Mahmoud </w:t>
            </w:r>
            <w:proofErr w:type="spellStart"/>
            <w:r w:rsidRPr="007F12EC">
              <w:rPr>
                <w:szCs w:val="18"/>
              </w:rPr>
              <w:t>Taha</w:t>
            </w:r>
            <w:proofErr w:type="spellEnd"/>
            <w:r w:rsidR="00B5410F">
              <w:rPr>
                <w:szCs w:val="18"/>
              </w:rPr>
              <w:t>,</w:t>
            </w:r>
            <w:r w:rsidRPr="007F12EC">
              <w:rPr>
                <w:szCs w:val="18"/>
              </w:rPr>
              <w:t xml:space="preserve"> </w:t>
            </w:r>
            <w:proofErr w:type="spellStart"/>
            <w:r w:rsidRPr="007F12EC">
              <w:rPr>
                <w:szCs w:val="18"/>
              </w:rPr>
              <w:t>Medhat</w:t>
            </w:r>
            <w:proofErr w:type="spellEnd"/>
            <w:r w:rsidRPr="007F12EC">
              <w:rPr>
                <w:szCs w:val="18"/>
              </w:rPr>
              <w:t xml:space="preserve"> Mohamed Mustafa Al </w:t>
            </w:r>
            <w:proofErr w:type="spellStart"/>
            <w:r w:rsidRPr="007F12EC">
              <w:rPr>
                <w:szCs w:val="18"/>
              </w:rPr>
              <w:t>Ajez</w:t>
            </w:r>
            <w:proofErr w:type="spellEnd"/>
            <w:r w:rsidR="00B5410F">
              <w:rPr>
                <w:szCs w:val="18"/>
              </w:rPr>
              <w:t>,</w:t>
            </w:r>
            <w:r w:rsidRPr="007F12EC">
              <w:rPr>
                <w:szCs w:val="18"/>
              </w:rPr>
              <w:t xml:space="preserve"> Ali Ahmad Ibrahim </w:t>
            </w:r>
            <w:proofErr w:type="spellStart"/>
            <w:r w:rsidRPr="007F12EC">
              <w:rPr>
                <w:szCs w:val="18"/>
              </w:rPr>
              <w:t>Sonbol</w:t>
            </w:r>
            <w:proofErr w:type="spellEnd"/>
            <w:r w:rsidR="00B5410F">
              <w:rPr>
                <w:szCs w:val="18"/>
              </w:rPr>
              <w:t>,</w:t>
            </w:r>
            <w:r w:rsidRPr="007F12EC">
              <w:rPr>
                <w:szCs w:val="18"/>
              </w:rPr>
              <w:t xml:space="preserve"> Mohamed Mahmoud Ali </w:t>
            </w:r>
            <w:proofErr w:type="spellStart"/>
            <w:r w:rsidRPr="007F12EC">
              <w:rPr>
                <w:szCs w:val="18"/>
              </w:rPr>
              <w:t>Shahdah</w:t>
            </w:r>
            <w:proofErr w:type="spellEnd"/>
            <w:r w:rsidR="00B5410F">
              <w:rPr>
                <w:szCs w:val="18"/>
              </w:rPr>
              <w:t>,</w:t>
            </w:r>
            <w:r w:rsidRPr="007F12EC">
              <w:rPr>
                <w:szCs w:val="18"/>
              </w:rPr>
              <w:t xml:space="preserve"> Abdullah Mohamed Ibrahim Zaza</w:t>
            </w:r>
            <w:r w:rsidR="00B5410F">
              <w:rPr>
                <w:szCs w:val="18"/>
              </w:rPr>
              <w:t>,</w:t>
            </w:r>
            <w:r w:rsidRPr="007F12EC">
              <w:rPr>
                <w:szCs w:val="18"/>
              </w:rPr>
              <w:t xml:space="preserve"> Salah Mohamed </w:t>
            </w:r>
            <w:proofErr w:type="spellStart"/>
            <w:r w:rsidRPr="007F12EC">
              <w:rPr>
                <w:szCs w:val="18"/>
              </w:rPr>
              <w:t>Rezq</w:t>
            </w:r>
            <w:proofErr w:type="spellEnd"/>
            <w:r w:rsidRPr="007F12EC">
              <w:rPr>
                <w:szCs w:val="18"/>
              </w:rPr>
              <w:t xml:space="preserve"> Al </w:t>
            </w:r>
            <w:proofErr w:type="spellStart"/>
            <w:r w:rsidRPr="007F12EC">
              <w:rPr>
                <w:szCs w:val="18"/>
              </w:rPr>
              <w:t>Mashad</w:t>
            </w:r>
            <w:proofErr w:type="spellEnd"/>
            <w:r w:rsidR="00B5410F">
              <w:rPr>
                <w:szCs w:val="18"/>
              </w:rPr>
              <w:t>,</w:t>
            </w:r>
            <w:r w:rsidRPr="007F12EC">
              <w:rPr>
                <w:szCs w:val="18"/>
              </w:rPr>
              <w:t xml:space="preserve"> Abdullah Al </w:t>
            </w:r>
            <w:proofErr w:type="spellStart"/>
            <w:r w:rsidRPr="007F12EC">
              <w:rPr>
                <w:szCs w:val="18"/>
              </w:rPr>
              <w:t>Arabi</w:t>
            </w:r>
            <w:proofErr w:type="spellEnd"/>
            <w:r w:rsidRPr="007F12EC">
              <w:rPr>
                <w:szCs w:val="18"/>
              </w:rPr>
              <w:t xml:space="preserve"> Abdullah Omar Ibrahim</w:t>
            </w:r>
            <w:r w:rsidR="00B5410F">
              <w:rPr>
                <w:szCs w:val="18"/>
              </w:rPr>
              <w:t>,</w:t>
            </w:r>
            <w:r w:rsidRPr="007F12EC">
              <w:rPr>
                <w:szCs w:val="18"/>
              </w:rPr>
              <w:t xml:space="preserve"> Ahmad </w:t>
            </w:r>
            <w:proofErr w:type="spellStart"/>
            <w:r w:rsidRPr="007F12EC">
              <w:rPr>
                <w:szCs w:val="18"/>
              </w:rPr>
              <w:t>Gafar</w:t>
            </w:r>
            <w:proofErr w:type="spellEnd"/>
            <w:r w:rsidR="00B5410F">
              <w:rPr>
                <w:szCs w:val="18"/>
              </w:rPr>
              <w:t>,</w:t>
            </w:r>
            <w:r w:rsidRPr="007F12EC">
              <w:rPr>
                <w:szCs w:val="18"/>
              </w:rPr>
              <w:t xml:space="preserve"> </w:t>
            </w:r>
            <w:proofErr w:type="spellStart"/>
            <w:r w:rsidRPr="007F12EC">
              <w:rPr>
                <w:szCs w:val="18"/>
              </w:rPr>
              <w:t>Abdulmoneim</w:t>
            </w:r>
            <w:proofErr w:type="spellEnd"/>
            <w:r w:rsidRPr="007F12EC">
              <w:rPr>
                <w:szCs w:val="18"/>
              </w:rPr>
              <w:t xml:space="preserve"> Ali Al Said </w:t>
            </w:r>
            <w:proofErr w:type="spellStart"/>
            <w:r w:rsidRPr="007F12EC">
              <w:rPr>
                <w:szCs w:val="18"/>
              </w:rPr>
              <w:t>Atyea</w:t>
            </w:r>
            <w:proofErr w:type="spellEnd"/>
            <w:r w:rsidRPr="007F12EC">
              <w:rPr>
                <w:szCs w:val="18"/>
              </w:rPr>
              <w:t xml:space="preserve"> and </w:t>
            </w:r>
            <w:proofErr w:type="spellStart"/>
            <w:r w:rsidRPr="007F12EC">
              <w:rPr>
                <w:szCs w:val="18"/>
              </w:rPr>
              <w:t>Mourad</w:t>
            </w:r>
            <w:proofErr w:type="spellEnd"/>
            <w:r w:rsidRPr="007F12EC">
              <w:rPr>
                <w:szCs w:val="18"/>
              </w:rPr>
              <w:t xml:space="preserve"> Mohamed </w:t>
            </w:r>
            <w:proofErr w:type="spellStart"/>
            <w:r w:rsidRPr="007F12EC">
              <w:rPr>
                <w:szCs w:val="18"/>
              </w:rPr>
              <w:t>Hamed</w:t>
            </w:r>
            <w:proofErr w:type="spellEnd"/>
            <w:r w:rsidRPr="007F12EC">
              <w:rPr>
                <w:szCs w:val="18"/>
              </w:rPr>
              <w:t xml:space="preserve"> Othman</w:t>
            </w:r>
          </w:p>
        </w:tc>
        <w:tc>
          <w:tcPr>
            <w:tcW w:w="1871"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Detention arbitrary,</w:t>
            </w:r>
            <w:r w:rsidRPr="007F12EC">
              <w:rPr>
                <w:szCs w:val="18"/>
              </w:rPr>
              <w:br/>
              <w:t>category III</w:t>
            </w:r>
          </w:p>
        </w:tc>
      </w:tr>
      <w:tr w:rsidR="00F17733" w:rsidRPr="007F12EC" w:rsidTr="002B6C29">
        <w:trPr>
          <w:cantSplit/>
          <w:trHeight w:val="1077"/>
        </w:trPr>
        <w:tc>
          <w:tcPr>
            <w:tcW w:w="964"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57/2014</w:t>
            </w:r>
          </w:p>
        </w:tc>
        <w:tc>
          <w:tcPr>
            <w:tcW w:w="1247" w:type="dxa"/>
            <w:shd w:val="clear" w:color="auto" w:fill="auto"/>
          </w:tcPr>
          <w:p w:rsidR="00F17733" w:rsidRPr="007F12EC" w:rsidRDefault="00F17733" w:rsidP="00BF4AF9">
            <w:pPr>
              <w:pStyle w:val="SingleTxtG"/>
              <w:suppressAutoHyphens w:val="0"/>
              <w:spacing w:before="40" w:line="220" w:lineRule="exact"/>
              <w:ind w:left="0" w:right="0"/>
              <w:jc w:val="left"/>
              <w:rPr>
                <w:szCs w:val="18"/>
              </w:rPr>
            </w:pPr>
            <w:r w:rsidRPr="007F12EC">
              <w:rPr>
                <w:szCs w:val="18"/>
              </w:rPr>
              <w:t>Lebanon</w:t>
            </w:r>
          </w:p>
        </w:tc>
        <w:tc>
          <w:tcPr>
            <w:tcW w:w="1418" w:type="dxa"/>
            <w:shd w:val="clear" w:color="auto" w:fill="auto"/>
          </w:tcPr>
          <w:p w:rsidR="00F17733" w:rsidRPr="007F12EC" w:rsidRDefault="00CD29BB" w:rsidP="00BF4AF9">
            <w:pPr>
              <w:pStyle w:val="SingleTxtG"/>
              <w:suppressAutoHyphens w:val="0"/>
              <w:spacing w:before="40" w:line="220" w:lineRule="exact"/>
              <w:ind w:left="0" w:right="0"/>
              <w:jc w:val="left"/>
              <w:rPr>
                <w:szCs w:val="18"/>
              </w:rPr>
            </w:pPr>
            <w:r w:rsidRPr="007F12EC">
              <w:rPr>
                <w:szCs w:val="18"/>
              </w:rPr>
              <w:t>No</w:t>
            </w:r>
          </w:p>
        </w:tc>
        <w:tc>
          <w:tcPr>
            <w:tcW w:w="3005" w:type="dxa"/>
            <w:shd w:val="clear" w:color="auto" w:fill="auto"/>
          </w:tcPr>
          <w:p w:rsidR="00AE179D" w:rsidRPr="007F12EC" w:rsidRDefault="00FA27F7" w:rsidP="00BF4AF9">
            <w:pPr>
              <w:pStyle w:val="SingleTxtG"/>
              <w:suppressAutoHyphens w:val="0"/>
              <w:spacing w:before="40" w:line="220" w:lineRule="exact"/>
              <w:ind w:left="0" w:right="0"/>
              <w:jc w:val="left"/>
              <w:rPr>
                <w:szCs w:val="18"/>
              </w:rPr>
            </w:pPr>
            <w:r w:rsidRPr="007F12EC">
              <w:rPr>
                <w:szCs w:val="18"/>
              </w:rPr>
              <w:t xml:space="preserve">Mohammed Ali </w:t>
            </w:r>
            <w:proofErr w:type="spellStart"/>
            <w:r w:rsidRPr="007F12EC">
              <w:rPr>
                <w:szCs w:val="18"/>
              </w:rPr>
              <w:t>Najem</w:t>
            </w:r>
            <w:proofErr w:type="spellEnd"/>
            <w:r w:rsidRPr="007F12EC">
              <w:rPr>
                <w:szCs w:val="18"/>
              </w:rPr>
              <w:t xml:space="preserve"> and 71 other persons</w:t>
            </w:r>
          </w:p>
        </w:tc>
        <w:tc>
          <w:tcPr>
            <w:tcW w:w="1871" w:type="dxa"/>
            <w:shd w:val="clear" w:color="auto" w:fill="auto"/>
          </w:tcPr>
          <w:p w:rsidR="00F17733" w:rsidRPr="007F12EC" w:rsidRDefault="00FA27F7" w:rsidP="00BF4AF9">
            <w:pPr>
              <w:pStyle w:val="SingleTxtG"/>
              <w:suppressAutoHyphens w:val="0"/>
              <w:spacing w:before="40" w:line="220" w:lineRule="exact"/>
              <w:ind w:left="0" w:right="0"/>
              <w:jc w:val="left"/>
              <w:rPr>
                <w:szCs w:val="18"/>
              </w:rPr>
            </w:pPr>
            <w:r w:rsidRPr="007F12EC">
              <w:rPr>
                <w:szCs w:val="18"/>
              </w:rPr>
              <w:t>Detention arbitrary,</w:t>
            </w:r>
            <w:r w:rsidRPr="007F12EC">
              <w:rPr>
                <w:szCs w:val="18"/>
              </w:rPr>
              <w:br/>
              <w:t xml:space="preserve">categories I and III </w:t>
            </w:r>
          </w:p>
        </w:tc>
      </w:tr>
    </w:tbl>
    <w:p w:rsidR="00215F2E" w:rsidRPr="00BC7FD8" w:rsidRDefault="00BF5B05" w:rsidP="00BF5B05">
      <w:pPr>
        <w:pStyle w:val="H23G"/>
      </w:pPr>
      <w:r>
        <w:tab/>
      </w:r>
      <w:r w:rsidR="00215F2E" w:rsidRPr="00BC7FD8">
        <w:t>3.</w:t>
      </w:r>
      <w:r>
        <w:tab/>
      </w:r>
      <w:r w:rsidR="00215F2E" w:rsidRPr="00BC7FD8">
        <w:t>Reactions from Governments concerning previous opinions</w:t>
      </w:r>
    </w:p>
    <w:p w:rsidR="00D20A18" w:rsidRPr="00174A88" w:rsidRDefault="0021743E" w:rsidP="0021743E">
      <w:pPr>
        <w:pStyle w:val="SingleTxtG"/>
      </w:pPr>
      <w:r w:rsidRPr="00174A88">
        <w:rPr>
          <w:lang w:val="en-US"/>
        </w:rPr>
        <w:t>15.</w:t>
      </w:r>
      <w:r w:rsidRPr="00174A88">
        <w:rPr>
          <w:lang w:val="en-US"/>
        </w:rPr>
        <w:tab/>
      </w:r>
      <w:r w:rsidR="00215F2E" w:rsidRPr="00174A88">
        <w:t xml:space="preserve">By </w:t>
      </w:r>
      <w:r w:rsidR="00E71D0B" w:rsidRPr="00174A88">
        <w:t xml:space="preserve">note </w:t>
      </w:r>
      <w:proofErr w:type="spellStart"/>
      <w:r w:rsidR="00E71D0B" w:rsidRPr="00174A88">
        <w:t>verbale</w:t>
      </w:r>
      <w:proofErr w:type="spellEnd"/>
      <w:r w:rsidR="00E71D0B" w:rsidRPr="00174A88">
        <w:t xml:space="preserve"> dated 19 February 2014, the Permanent Mission of Mexico to the United Nations Office at Geneva transmitted the additional information requested by the Working </w:t>
      </w:r>
      <w:r w:rsidR="00CE7527" w:rsidRPr="00174A88">
        <w:t>G</w:t>
      </w:r>
      <w:r w:rsidR="00E71D0B" w:rsidRPr="00174A88">
        <w:t>roup</w:t>
      </w:r>
      <w:r w:rsidR="00CE7527" w:rsidRPr="00174A88">
        <w:t xml:space="preserve"> in its </w:t>
      </w:r>
      <w:r w:rsidR="00334176">
        <w:t>o</w:t>
      </w:r>
      <w:r w:rsidR="00CE7527" w:rsidRPr="00174A88">
        <w:t xml:space="preserve">pinion </w:t>
      </w:r>
      <w:r w:rsidR="00334176">
        <w:t xml:space="preserve">No. </w:t>
      </w:r>
      <w:r w:rsidR="00CE7527" w:rsidRPr="00174A88">
        <w:t xml:space="preserve">58/2013 (Mexico). According to the information provided, the judicial process </w:t>
      </w:r>
      <w:r w:rsidR="000B5523">
        <w:t>is still</w:t>
      </w:r>
      <w:r w:rsidR="000B5523" w:rsidRPr="00174A88">
        <w:t xml:space="preserve"> </w:t>
      </w:r>
      <w:r w:rsidR="00CE7527" w:rsidRPr="00174A88">
        <w:t>at the preliminary investigation</w:t>
      </w:r>
      <w:r w:rsidR="000B5523">
        <w:t xml:space="preserve"> stage</w:t>
      </w:r>
      <w:r w:rsidR="00DA7438">
        <w:t>;</w:t>
      </w:r>
      <w:r w:rsidR="00A00E2D">
        <w:t xml:space="preserve"> </w:t>
      </w:r>
      <w:r w:rsidR="00334176" w:rsidRPr="004141C1">
        <w:rPr>
          <w:lang w:val="en-US"/>
        </w:rPr>
        <w:t>Marco Antonio</w:t>
      </w:r>
      <w:r w:rsidR="00A00E2D" w:rsidRPr="004141C1">
        <w:rPr>
          <w:lang w:val="en-US"/>
        </w:rPr>
        <w:t> </w:t>
      </w:r>
      <w:r w:rsidR="00CE7527" w:rsidRPr="004141C1">
        <w:rPr>
          <w:lang w:val="en-US"/>
        </w:rPr>
        <w:t>de Santiago Ríos was arrested in flagrant delict</w:t>
      </w:r>
      <w:r w:rsidR="00DA7438">
        <w:rPr>
          <w:lang w:val="en-US"/>
        </w:rPr>
        <w:t>; and</w:t>
      </w:r>
      <w:r w:rsidR="00CE7527" w:rsidRPr="004141C1">
        <w:rPr>
          <w:lang w:val="en-US"/>
        </w:rPr>
        <w:t xml:space="preserve"> </w:t>
      </w:r>
      <w:r w:rsidR="00DA7438">
        <w:t>d</w:t>
      </w:r>
      <w:r w:rsidR="00CE7527" w:rsidRPr="00174A88">
        <w:t xml:space="preserve">uring his apprehension, the police officers fully </w:t>
      </w:r>
      <w:r w:rsidR="006429C2">
        <w:t>observed</w:t>
      </w:r>
      <w:r w:rsidR="00CE7527" w:rsidRPr="00174A88">
        <w:t xml:space="preserve"> the principles of legality, lawfulness, objectivity</w:t>
      </w:r>
      <w:r w:rsidR="000B5523">
        <w:t xml:space="preserve"> and</w:t>
      </w:r>
      <w:r w:rsidR="00CE7527" w:rsidRPr="00174A88">
        <w:t xml:space="preserve"> efficiency and acted with professionalism, respecting the rights of the person captured.</w:t>
      </w:r>
    </w:p>
    <w:p w:rsidR="00D20A18" w:rsidRPr="00174A88" w:rsidRDefault="0021743E" w:rsidP="0021743E">
      <w:pPr>
        <w:pStyle w:val="SingleTxtG"/>
      </w:pPr>
      <w:r w:rsidRPr="00174A88">
        <w:rPr>
          <w:lang w:val="en-US"/>
        </w:rPr>
        <w:t>16.</w:t>
      </w:r>
      <w:r w:rsidRPr="00174A88">
        <w:rPr>
          <w:lang w:val="en-US"/>
        </w:rPr>
        <w:tab/>
      </w:r>
      <w:r w:rsidR="00D20A18" w:rsidRPr="00174A88">
        <w:t xml:space="preserve">By letter dated 28 February 2014, the Government of Sri Lanka submitted a late response </w:t>
      </w:r>
      <w:r w:rsidR="000B5523">
        <w:t>regarding</w:t>
      </w:r>
      <w:r w:rsidR="000B5523" w:rsidRPr="00174A88">
        <w:t xml:space="preserve"> </w:t>
      </w:r>
      <w:r w:rsidR="00D20A18" w:rsidRPr="00174A88">
        <w:t>the case of</w:t>
      </w:r>
      <w:r w:rsidR="00A00E2D">
        <w:t xml:space="preserve"> </w:t>
      </w:r>
      <w:proofErr w:type="spellStart"/>
      <w:r w:rsidR="00D20A18" w:rsidRPr="00174A88">
        <w:t>Varnakulasingham</w:t>
      </w:r>
      <w:proofErr w:type="spellEnd"/>
      <w:r w:rsidR="00D20A18" w:rsidRPr="00174A88">
        <w:t xml:space="preserve"> </w:t>
      </w:r>
      <w:proofErr w:type="spellStart"/>
      <w:r w:rsidR="00D20A18" w:rsidRPr="00174A88">
        <w:t>Arulanandam</w:t>
      </w:r>
      <w:proofErr w:type="spellEnd"/>
      <w:r w:rsidR="00D20A18" w:rsidRPr="00174A88">
        <w:t xml:space="preserve"> (</w:t>
      </w:r>
      <w:r w:rsidR="000B5523">
        <w:t>o</w:t>
      </w:r>
      <w:r w:rsidR="00D20A18" w:rsidRPr="00174A88">
        <w:t xml:space="preserve">pinion </w:t>
      </w:r>
      <w:r w:rsidR="000B5523">
        <w:t xml:space="preserve">No. </w:t>
      </w:r>
      <w:r w:rsidR="00D20A18" w:rsidRPr="00174A88">
        <w:t>48/2013 (Sri Lanka)</w:t>
      </w:r>
      <w:r w:rsidR="000B5523">
        <w:t>)</w:t>
      </w:r>
      <w:r w:rsidR="00D20A18" w:rsidRPr="00174A88">
        <w:t>.</w:t>
      </w:r>
      <w:r w:rsidR="00CE0EF5">
        <w:t xml:space="preserve"> </w:t>
      </w:r>
      <w:r w:rsidR="00D20A18" w:rsidRPr="00174A88">
        <w:t xml:space="preserve">In </w:t>
      </w:r>
      <w:r w:rsidR="006429C2">
        <w:t>its</w:t>
      </w:r>
      <w:r w:rsidR="00D20A18" w:rsidRPr="00174A88">
        <w:t xml:space="preserve"> letter, the Government provided information </w:t>
      </w:r>
      <w:r w:rsidR="000B5523">
        <w:t>on</w:t>
      </w:r>
      <w:r w:rsidR="000B5523" w:rsidRPr="00174A88">
        <w:t xml:space="preserve"> </w:t>
      </w:r>
      <w:r w:rsidR="00D20A18" w:rsidRPr="00174A88">
        <w:t>the reasons and circumstances of</w:t>
      </w:r>
      <w:r w:rsidR="00A00E2D">
        <w:t xml:space="preserve"> Mr. </w:t>
      </w:r>
      <w:proofErr w:type="spellStart"/>
      <w:r w:rsidR="00D20A18" w:rsidRPr="00174A88">
        <w:t>Arulanandam’s</w:t>
      </w:r>
      <w:proofErr w:type="spellEnd"/>
      <w:r w:rsidR="00D20A18" w:rsidRPr="00174A88">
        <w:t xml:space="preserve"> arrest and detention </w:t>
      </w:r>
      <w:r w:rsidR="000B5523">
        <w:t>and on</w:t>
      </w:r>
      <w:r w:rsidR="00D20A18" w:rsidRPr="00174A88">
        <w:t xml:space="preserve"> the ongoing court proceedings against him.</w:t>
      </w:r>
      <w:r w:rsidR="00CE0EF5">
        <w:t xml:space="preserve"> </w:t>
      </w:r>
      <w:r w:rsidR="000B5523">
        <w:t>It</w:t>
      </w:r>
      <w:r w:rsidR="00D20A18" w:rsidRPr="00174A88">
        <w:t xml:space="preserve"> stated</w:t>
      </w:r>
      <w:r w:rsidR="006429C2">
        <w:t>,</w:t>
      </w:r>
      <w:r w:rsidR="00D20A18" w:rsidRPr="00174A88">
        <w:t xml:space="preserve"> inter alia, </w:t>
      </w:r>
      <w:r w:rsidR="006429C2">
        <w:t>that</w:t>
      </w:r>
      <w:r w:rsidR="00A00E2D">
        <w:t xml:space="preserve"> Mr. </w:t>
      </w:r>
      <w:proofErr w:type="spellStart"/>
      <w:r w:rsidR="00D20A18" w:rsidRPr="00174A88">
        <w:t>Arulanandam</w:t>
      </w:r>
      <w:proofErr w:type="spellEnd"/>
      <w:r w:rsidR="00D20A18" w:rsidRPr="00174A88">
        <w:t xml:space="preserve"> </w:t>
      </w:r>
      <w:r w:rsidR="000B5523">
        <w:t>had been</w:t>
      </w:r>
      <w:r w:rsidR="00D20A18" w:rsidRPr="00174A88">
        <w:t xml:space="preserve"> promptly informed of the charges against him and brought before the magistrate every month since his arrest.</w:t>
      </w:r>
      <w:r w:rsidR="00CE0EF5">
        <w:t xml:space="preserve"> </w:t>
      </w:r>
    </w:p>
    <w:p w:rsidR="00122D41" w:rsidRPr="00174A88" w:rsidRDefault="0021743E" w:rsidP="0021743E">
      <w:pPr>
        <w:pStyle w:val="SingleTxtG"/>
      </w:pPr>
      <w:r w:rsidRPr="00174A88">
        <w:rPr>
          <w:lang w:val="en-US"/>
        </w:rPr>
        <w:t>17.</w:t>
      </w:r>
      <w:r w:rsidRPr="00174A88">
        <w:rPr>
          <w:lang w:val="en-US"/>
        </w:rPr>
        <w:tab/>
      </w:r>
      <w:r w:rsidR="00D20A18" w:rsidRPr="00174A88">
        <w:t xml:space="preserve">By letter dated 26 December 2013, the Government of Libya informed the Working Group that </w:t>
      </w:r>
      <w:r w:rsidR="00384D50">
        <w:t>o</w:t>
      </w:r>
      <w:r w:rsidR="00D20A18" w:rsidRPr="00174A88">
        <w:t>pinion 41/2013 (Libya) contain</w:t>
      </w:r>
      <w:r w:rsidR="00384D50">
        <w:t>ed</w:t>
      </w:r>
      <w:r w:rsidR="00D20A18" w:rsidRPr="00174A88">
        <w:t xml:space="preserve"> a number of errors</w:t>
      </w:r>
      <w:r w:rsidR="00384D50">
        <w:t>,</w:t>
      </w:r>
      <w:r w:rsidR="00D20A18" w:rsidRPr="00174A88">
        <w:t xml:space="preserve"> and refuted that the detention of </w:t>
      </w:r>
      <w:proofErr w:type="spellStart"/>
      <w:r w:rsidR="00D20A18" w:rsidRPr="00174A88">
        <w:t>Saif</w:t>
      </w:r>
      <w:proofErr w:type="spellEnd"/>
      <w:r w:rsidR="00D20A18" w:rsidRPr="00174A88">
        <w:t xml:space="preserve"> al-Islam Gaddafi </w:t>
      </w:r>
      <w:r w:rsidR="00384D50">
        <w:t>wa</w:t>
      </w:r>
      <w:r w:rsidR="00D20A18" w:rsidRPr="00174A88">
        <w:t>s arbitrary.</w:t>
      </w:r>
      <w:r w:rsidR="00CE0EF5">
        <w:t xml:space="preserve"> </w:t>
      </w:r>
      <w:r w:rsidR="00D20A18" w:rsidRPr="00174A88">
        <w:t>The Government stated, inter alia, that</w:t>
      </w:r>
      <w:r w:rsidR="00A00E2D">
        <w:t xml:space="preserve"> Mr. </w:t>
      </w:r>
      <w:r w:rsidR="00D20A18" w:rsidRPr="00174A88">
        <w:t>Gaddafi ha</w:t>
      </w:r>
      <w:r w:rsidR="00384D50">
        <w:t>d</w:t>
      </w:r>
      <w:r w:rsidR="00D20A18" w:rsidRPr="00174A88">
        <w:t xml:space="preserve"> been investigated by the public </w:t>
      </w:r>
      <w:r w:rsidR="00D20A18" w:rsidRPr="00832DCD">
        <w:t>prosecut</w:t>
      </w:r>
      <w:r w:rsidR="00384D50" w:rsidRPr="00832DCD">
        <w:t>or</w:t>
      </w:r>
      <w:r w:rsidR="00D20A18" w:rsidRPr="00174A88">
        <w:t xml:space="preserve"> and charged with a number of crimes under domestic legislation, and that the Libyan authorit</w:t>
      </w:r>
      <w:r w:rsidR="006429C2">
        <w:t>ies</w:t>
      </w:r>
      <w:r w:rsidR="00D20A18" w:rsidRPr="00174A88">
        <w:t xml:space="preserve"> </w:t>
      </w:r>
      <w:r w:rsidR="00384D50">
        <w:t>we</w:t>
      </w:r>
      <w:r w:rsidR="006429C2">
        <w:t xml:space="preserve">re </w:t>
      </w:r>
      <w:r w:rsidR="00D20A18" w:rsidRPr="00174A88">
        <w:t>willing and capable of trying</w:t>
      </w:r>
      <w:r w:rsidR="00A00E2D">
        <w:t xml:space="preserve"> Mr. </w:t>
      </w:r>
      <w:r w:rsidR="00D20A18" w:rsidRPr="00174A88">
        <w:t>Gaddafi, as evidenced by the case of</w:t>
      </w:r>
      <w:r w:rsidR="00A00E2D">
        <w:t xml:space="preserve"> </w:t>
      </w:r>
      <w:r w:rsidR="00D20A18" w:rsidRPr="00174A88">
        <w:t>Abdullah al-Senussi</w:t>
      </w:r>
      <w:r w:rsidR="00384D50">
        <w:t>,</w:t>
      </w:r>
      <w:r w:rsidR="00D20A18" w:rsidRPr="00174A88">
        <w:t xml:space="preserve"> in which the International Criminal Court </w:t>
      </w:r>
      <w:r w:rsidR="008C3694">
        <w:t xml:space="preserve">had </w:t>
      </w:r>
      <w:r w:rsidR="00D20A18" w:rsidRPr="00174A88">
        <w:t xml:space="preserve">determined that domestic authorities </w:t>
      </w:r>
      <w:r w:rsidR="00384D50">
        <w:t>we</w:t>
      </w:r>
      <w:r w:rsidR="00D20A18" w:rsidRPr="00174A88">
        <w:t xml:space="preserve">re willing and genuinely able to investigate </w:t>
      </w:r>
      <w:r w:rsidR="008C3694">
        <w:t>the</w:t>
      </w:r>
      <w:r w:rsidR="00D20A18" w:rsidRPr="00174A88">
        <w:t xml:space="preserve"> case.</w:t>
      </w:r>
      <w:r w:rsidR="00CE0EF5">
        <w:t xml:space="preserve"> </w:t>
      </w:r>
    </w:p>
    <w:p w:rsidR="00122D41" w:rsidRPr="00174A88" w:rsidRDefault="0021743E" w:rsidP="0021743E">
      <w:pPr>
        <w:pStyle w:val="SingleTxtG"/>
      </w:pPr>
      <w:r w:rsidRPr="00174A88">
        <w:rPr>
          <w:lang w:val="en-US"/>
        </w:rPr>
        <w:t>18.</w:t>
      </w:r>
      <w:r w:rsidRPr="00174A88">
        <w:rPr>
          <w:lang w:val="en-US"/>
        </w:rPr>
        <w:tab/>
      </w:r>
      <w:r w:rsidR="00122D41" w:rsidRPr="00174A88">
        <w:t xml:space="preserve">Concerning </w:t>
      </w:r>
      <w:r w:rsidR="00384D50">
        <w:t>o</w:t>
      </w:r>
      <w:r w:rsidR="00122D41" w:rsidRPr="00174A88">
        <w:t xml:space="preserve">pinion 38/2013 (Cameroon) on the detention of Michel Thierry </w:t>
      </w:r>
      <w:proofErr w:type="spellStart"/>
      <w:r w:rsidR="00122D41" w:rsidRPr="00174A88">
        <w:t>Atangana</w:t>
      </w:r>
      <w:proofErr w:type="spellEnd"/>
      <w:r w:rsidR="00C90671">
        <w:t xml:space="preserve"> </w:t>
      </w:r>
      <w:proofErr w:type="spellStart"/>
      <w:r w:rsidR="00C90671">
        <w:t>Abega</w:t>
      </w:r>
      <w:proofErr w:type="spellEnd"/>
      <w:r w:rsidR="009C7868" w:rsidRPr="00174A88">
        <w:t>, the</w:t>
      </w:r>
      <w:r w:rsidR="00D20A18" w:rsidRPr="00174A88">
        <w:t xml:space="preserve"> Government of Cameroon</w:t>
      </w:r>
      <w:r w:rsidR="00122D41" w:rsidRPr="00174A88">
        <w:t>, by letter dated 31 January 2014</w:t>
      </w:r>
      <w:r w:rsidR="009C7868" w:rsidRPr="00174A88">
        <w:t>, noted</w:t>
      </w:r>
      <w:r w:rsidR="00D20A18" w:rsidRPr="00174A88">
        <w:t xml:space="preserve"> with surprise </w:t>
      </w:r>
      <w:r w:rsidR="00D20A18" w:rsidRPr="00832DCD">
        <w:t>that</w:t>
      </w:r>
      <w:r w:rsidR="008C3694">
        <w:t xml:space="preserve"> it had not been granted</w:t>
      </w:r>
      <w:r w:rsidR="00D20A18" w:rsidRPr="00832DCD">
        <w:t xml:space="preserve"> </w:t>
      </w:r>
      <w:r w:rsidR="00832DCD" w:rsidRPr="004141C1">
        <w:t>a</w:t>
      </w:r>
      <w:r w:rsidR="00832DCD" w:rsidRPr="00832DCD">
        <w:t xml:space="preserve"> </w:t>
      </w:r>
      <w:r w:rsidR="00D20A18" w:rsidRPr="00832DCD">
        <w:t>deadline</w:t>
      </w:r>
      <w:r w:rsidR="00C90671" w:rsidRPr="00832DCD">
        <w:t xml:space="preserve"> extension</w:t>
      </w:r>
      <w:r w:rsidR="00D20A18" w:rsidRPr="00832DCD">
        <w:t xml:space="preserve"> of 60 days </w:t>
      </w:r>
      <w:r w:rsidR="00D20A18" w:rsidRPr="00174A88">
        <w:t xml:space="preserve">for the submission of its response. </w:t>
      </w:r>
      <w:r w:rsidR="00BA533A">
        <w:t>The State further argued that t</w:t>
      </w:r>
      <w:r w:rsidR="00D20A18" w:rsidRPr="00174A88">
        <w:t>he Working Group should give proper space for the simple, yet fundamental, principle of adversarial debate. It informed</w:t>
      </w:r>
      <w:r w:rsidR="00C90671">
        <w:t xml:space="preserve"> the Working Group</w:t>
      </w:r>
      <w:r w:rsidR="00D20A18" w:rsidRPr="00174A88">
        <w:t xml:space="preserve"> that</w:t>
      </w:r>
      <w:r w:rsidR="00A00E2D">
        <w:t xml:space="preserve"> Mr. </w:t>
      </w:r>
      <w:proofErr w:type="spellStart"/>
      <w:r w:rsidR="00D20A18" w:rsidRPr="00174A88">
        <w:t>Atangana</w:t>
      </w:r>
      <w:proofErr w:type="spellEnd"/>
      <w:r w:rsidR="00D20A18" w:rsidRPr="00174A88">
        <w:t xml:space="preserve"> was in detention </w:t>
      </w:r>
      <w:r w:rsidR="00027496">
        <w:t>for</w:t>
      </w:r>
      <w:r w:rsidR="00D20A18" w:rsidRPr="00174A88">
        <w:t xml:space="preserve"> embezzlement of public funds</w:t>
      </w:r>
      <w:r w:rsidR="00027496">
        <w:t>,</w:t>
      </w:r>
      <w:r w:rsidR="00D20A18" w:rsidRPr="00174A88">
        <w:t xml:space="preserve"> and </w:t>
      </w:r>
      <w:r w:rsidR="00027496">
        <w:t>that</w:t>
      </w:r>
      <w:r w:rsidR="00D20A18" w:rsidRPr="00174A88">
        <w:t xml:space="preserve"> </w:t>
      </w:r>
      <w:r w:rsidR="00027496">
        <w:t>the detention was not</w:t>
      </w:r>
      <w:r w:rsidR="00D20A18" w:rsidRPr="00174A88">
        <w:t xml:space="preserve"> political</w:t>
      </w:r>
      <w:r w:rsidR="00027496">
        <w:t>ly</w:t>
      </w:r>
      <w:r w:rsidR="00D20A18" w:rsidRPr="00174A88">
        <w:t xml:space="preserve"> motiv</w:t>
      </w:r>
      <w:r w:rsidR="00027496">
        <w:t>ated</w:t>
      </w:r>
      <w:r w:rsidR="00D20A18" w:rsidRPr="00174A88">
        <w:t xml:space="preserve">. The Government </w:t>
      </w:r>
      <w:r w:rsidR="00C90671">
        <w:t>expressed</w:t>
      </w:r>
      <w:r w:rsidR="00D20A18" w:rsidRPr="00174A88">
        <w:t xml:space="preserve"> regret </w:t>
      </w:r>
      <w:r w:rsidR="00C90671">
        <w:t>at the</w:t>
      </w:r>
      <w:r w:rsidR="00C90671" w:rsidRPr="00174A88">
        <w:t xml:space="preserve"> </w:t>
      </w:r>
      <w:r w:rsidR="00D20A18" w:rsidRPr="00832DCD">
        <w:t>precipitation</w:t>
      </w:r>
      <w:r w:rsidR="00D20A18" w:rsidRPr="00174A88">
        <w:t xml:space="preserve"> surrounding the examination of th</w:t>
      </w:r>
      <w:r w:rsidR="00C90671">
        <w:t>e</w:t>
      </w:r>
      <w:r w:rsidR="00D20A18" w:rsidRPr="00174A88">
        <w:t xml:space="preserve"> case, and it deplored the overall tone of th</w:t>
      </w:r>
      <w:r w:rsidR="00C90671">
        <w:t>e</w:t>
      </w:r>
      <w:r w:rsidR="00D20A18" w:rsidRPr="00174A88">
        <w:t xml:space="preserve"> </w:t>
      </w:r>
      <w:r w:rsidR="00C90671">
        <w:t>o</w:t>
      </w:r>
      <w:r w:rsidR="00D20A18" w:rsidRPr="00174A88">
        <w:t>pinion.</w:t>
      </w:r>
    </w:p>
    <w:p w:rsidR="00122D41" w:rsidRPr="00174A88" w:rsidRDefault="0021743E" w:rsidP="0021743E">
      <w:pPr>
        <w:pStyle w:val="SingleTxtG"/>
      </w:pPr>
      <w:r w:rsidRPr="00174A88">
        <w:rPr>
          <w:lang w:val="en-US"/>
        </w:rPr>
        <w:t>19.</w:t>
      </w:r>
      <w:r w:rsidRPr="00174A88">
        <w:rPr>
          <w:lang w:val="en-US"/>
        </w:rPr>
        <w:tab/>
      </w:r>
      <w:r w:rsidR="00D20A18" w:rsidRPr="00174A88">
        <w:t xml:space="preserve">By note </w:t>
      </w:r>
      <w:proofErr w:type="spellStart"/>
      <w:r w:rsidR="00D20A18" w:rsidRPr="00174A88">
        <w:t>verbale</w:t>
      </w:r>
      <w:proofErr w:type="spellEnd"/>
      <w:r w:rsidR="00D20A18" w:rsidRPr="00174A88">
        <w:t xml:space="preserve"> dated 12 March 2014, the Permanent Mission of Paraguay to the United Nations Office at Geneva transmitted the additional information requested by the Working Group in </w:t>
      </w:r>
      <w:r w:rsidR="00245C60">
        <w:t>paragraph </w:t>
      </w:r>
      <w:r w:rsidR="00D20A18" w:rsidRPr="00174A88">
        <w:t xml:space="preserve">46 of its </w:t>
      </w:r>
      <w:r w:rsidR="00027496">
        <w:t>o</w:t>
      </w:r>
      <w:r w:rsidR="00D20A18" w:rsidRPr="00174A88">
        <w:t>pinion</w:t>
      </w:r>
      <w:r w:rsidR="00C71C14">
        <w:t xml:space="preserve"> No. </w:t>
      </w:r>
      <w:r w:rsidR="00D20A18" w:rsidRPr="00174A88">
        <w:t>31/2013 (Paraguay</w:t>
      </w:r>
      <w:r w:rsidR="00122D41" w:rsidRPr="00174A88">
        <w:t xml:space="preserve">) on the detention of </w:t>
      </w:r>
      <w:proofErr w:type="spellStart"/>
      <w:r w:rsidR="00122D41" w:rsidRPr="00174A88">
        <w:t>Lucía</w:t>
      </w:r>
      <w:proofErr w:type="spellEnd"/>
      <w:r w:rsidR="00122D41" w:rsidRPr="00174A88">
        <w:t xml:space="preserve"> </w:t>
      </w:r>
      <w:proofErr w:type="spellStart"/>
      <w:r w:rsidR="00122D41" w:rsidRPr="00174A88">
        <w:t>Agüero</w:t>
      </w:r>
      <w:proofErr w:type="spellEnd"/>
      <w:r w:rsidR="00122D41" w:rsidRPr="00174A88">
        <w:t xml:space="preserve"> Romero and others</w:t>
      </w:r>
      <w:r w:rsidR="00D20A18" w:rsidRPr="00174A88">
        <w:t xml:space="preserve">. According to the information provided, the preliminary investigation into the case concluded on 9 October 2013 and the judicial process </w:t>
      </w:r>
      <w:r w:rsidR="00015892">
        <w:t>is due</w:t>
      </w:r>
      <w:r w:rsidR="00015892" w:rsidRPr="00174A88">
        <w:t xml:space="preserve"> </w:t>
      </w:r>
      <w:r w:rsidR="00015892">
        <w:t>to</w:t>
      </w:r>
      <w:r w:rsidR="00015892" w:rsidRPr="00174A88">
        <w:t xml:space="preserve"> </w:t>
      </w:r>
      <w:r w:rsidR="00015892">
        <w:t>enter</w:t>
      </w:r>
      <w:r w:rsidR="00D20A18" w:rsidRPr="00174A88">
        <w:t xml:space="preserve"> the oral phase (hearings)</w:t>
      </w:r>
      <w:r w:rsidR="00015892">
        <w:t>;</w:t>
      </w:r>
      <w:r w:rsidR="00D20A18" w:rsidRPr="00174A88">
        <w:t xml:space="preserve"> 12 persons have been formally charged and accused and </w:t>
      </w:r>
      <w:r w:rsidR="00015892">
        <w:t>3</w:t>
      </w:r>
      <w:r w:rsidR="00D20A18" w:rsidRPr="00174A88">
        <w:t xml:space="preserve"> persons have been released without charges. </w:t>
      </w:r>
      <w:r w:rsidR="00015892">
        <w:t>It is expected that f</w:t>
      </w:r>
      <w:r w:rsidR="00D20A18" w:rsidRPr="00174A88">
        <w:t>ive of th</w:t>
      </w:r>
      <w:r w:rsidR="00015892">
        <w:t>e</w:t>
      </w:r>
      <w:r w:rsidR="00D20A18" w:rsidRPr="00174A88">
        <w:t xml:space="preserve"> accused </w:t>
      </w:r>
      <w:r w:rsidR="00015892">
        <w:t>will</w:t>
      </w:r>
      <w:r w:rsidR="00015892" w:rsidRPr="00174A88">
        <w:t xml:space="preserve"> </w:t>
      </w:r>
      <w:r w:rsidR="00D20A18" w:rsidRPr="00174A88">
        <w:t>continue</w:t>
      </w:r>
      <w:r w:rsidR="00015892">
        <w:t xml:space="preserve"> to be held</w:t>
      </w:r>
      <w:r w:rsidR="00D20A18" w:rsidRPr="00174A88">
        <w:t xml:space="preserve"> in </w:t>
      </w:r>
      <w:proofErr w:type="spellStart"/>
      <w:r w:rsidR="00D20A18" w:rsidRPr="00174A88">
        <w:t>pretrial</w:t>
      </w:r>
      <w:proofErr w:type="spellEnd"/>
      <w:r w:rsidR="00D20A18" w:rsidRPr="00174A88">
        <w:t xml:space="preserve"> detention, six </w:t>
      </w:r>
      <w:r w:rsidR="00015892">
        <w:t>will be held under</w:t>
      </w:r>
      <w:r w:rsidR="00D20A18" w:rsidRPr="00174A88">
        <w:t xml:space="preserve"> house arrest and one </w:t>
      </w:r>
      <w:r w:rsidR="00015892">
        <w:t>will</w:t>
      </w:r>
      <w:r w:rsidR="00015892" w:rsidRPr="00174A88">
        <w:t xml:space="preserve"> </w:t>
      </w:r>
      <w:r w:rsidR="00D20A18" w:rsidRPr="00174A88">
        <w:t xml:space="preserve">await the process at liberty. The Government also provided information concerning the medical attention </w:t>
      </w:r>
      <w:r w:rsidR="00015892">
        <w:t>provided</w:t>
      </w:r>
      <w:r w:rsidR="00015892" w:rsidRPr="00174A88">
        <w:t xml:space="preserve"> </w:t>
      </w:r>
      <w:r w:rsidR="00D20A18" w:rsidRPr="00174A88">
        <w:t xml:space="preserve">to the detainees who were </w:t>
      </w:r>
      <w:r w:rsidR="00015892">
        <w:t>o</w:t>
      </w:r>
      <w:r w:rsidR="00D20A18" w:rsidRPr="00174A88">
        <w:t>n</w:t>
      </w:r>
      <w:r w:rsidR="00015892">
        <w:t xml:space="preserve"> a</w:t>
      </w:r>
      <w:r w:rsidR="00D20A18" w:rsidRPr="00174A88">
        <w:t xml:space="preserve"> hunger strike.</w:t>
      </w:r>
    </w:p>
    <w:p w:rsidR="00122D41" w:rsidRPr="00174A88" w:rsidRDefault="0021743E" w:rsidP="0021743E">
      <w:pPr>
        <w:pStyle w:val="SingleTxtG"/>
      </w:pPr>
      <w:r w:rsidRPr="00174A88">
        <w:rPr>
          <w:lang w:val="en-US"/>
        </w:rPr>
        <w:t>20.</w:t>
      </w:r>
      <w:r w:rsidRPr="00174A88">
        <w:rPr>
          <w:lang w:val="en-US"/>
        </w:rPr>
        <w:tab/>
      </w:r>
      <w:r w:rsidR="00D20A18" w:rsidRPr="00174A88">
        <w:t>By letter dated 25 November 2013, the Government of Tunisia provided a late response on the case of</w:t>
      </w:r>
      <w:r w:rsidR="00A00E2D">
        <w:t xml:space="preserve"> </w:t>
      </w:r>
      <w:proofErr w:type="spellStart"/>
      <w:r w:rsidR="00D20A18" w:rsidRPr="00174A88">
        <w:t>Jabeur</w:t>
      </w:r>
      <w:proofErr w:type="spellEnd"/>
      <w:r w:rsidR="00D20A18" w:rsidRPr="00174A88">
        <w:t xml:space="preserve"> </w:t>
      </w:r>
      <w:proofErr w:type="spellStart"/>
      <w:r w:rsidR="00D20A18" w:rsidRPr="00174A88">
        <w:t>Mejri</w:t>
      </w:r>
      <w:proofErr w:type="spellEnd"/>
      <w:r w:rsidR="00D20A18" w:rsidRPr="00174A88">
        <w:t xml:space="preserve"> </w:t>
      </w:r>
      <w:r w:rsidR="00122D41" w:rsidRPr="00174A88">
        <w:t>(</w:t>
      </w:r>
      <w:r w:rsidR="00015892">
        <w:t>o</w:t>
      </w:r>
      <w:r w:rsidR="00122D41" w:rsidRPr="00174A88">
        <w:t>pinion</w:t>
      </w:r>
      <w:r w:rsidR="00C71C14">
        <w:t xml:space="preserve"> No. </w:t>
      </w:r>
      <w:r w:rsidR="00122D41" w:rsidRPr="00174A88">
        <w:t>29/2013 (Tunisia)</w:t>
      </w:r>
      <w:r w:rsidR="00DE5B7A">
        <w:t>)</w:t>
      </w:r>
      <w:r w:rsidR="00D20A18" w:rsidRPr="00174A88">
        <w:t xml:space="preserve">. </w:t>
      </w:r>
    </w:p>
    <w:p w:rsidR="009B0452" w:rsidRPr="00174A88" w:rsidRDefault="0021743E" w:rsidP="0021743E">
      <w:pPr>
        <w:pStyle w:val="SingleTxtG"/>
      </w:pPr>
      <w:r w:rsidRPr="00174A88">
        <w:rPr>
          <w:lang w:val="en-US"/>
        </w:rPr>
        <w:t>21.</w:t>
      </w:r>
      <w:r w:rsidRPr="00174A88">
        <w:rPr>
          <w:lang w:val="en-US"/>
        </w:rPr>
        <w:tab/>
      </w:r>
      <w:r w:rsidR="00D20A18" w:rsidRPr="00174A88">
        <w:t xml:space="preserve">By letter received on 13 December 2013, the Government of </w:t>
      </w:r>
      <w:r w:rsidR="00122D41" w:rsidRPr="00174A88">
        <w:t xml:space="preserve">the Islamic Republic of </w:t>
      </w:r>
      <w:r w:rsidR="00D20A18" w:rsidRPr="00174A88">
        <w:t>Iran provided a late response on the case of</w:t>
      </w:r>
      <w:r w:rsidR="00A00E2D">
        <w:t xml:space="preserve"> </w:t>
      </w:r>
      <w:r w:rsidR="00D20A18" w:rsidRPr="00174A88">
        <w:t xml:space="preserve">Amir </w:t>
      </w:r>
      <w:proofErr w:type="spellStart"/>
      <w:r w:rsidR="00DE5B7A">
        <w:t>Nema</w:t>
      </w:r>
      <w:proofErr w:type="spellEnd"/>
      <w:r w:rsidR="00DE5B7A">
        <w:t xml:space="preserve"> </w:t>
      </w:r>
      <w:proofErr w:type="spellStart"/>
      <w:r w:rsidR="00D20A18" w:rsidRPr="00174A88">
        <w:t>Hekmati</w:t>
      </w:r>
      <w:proofErr w:type="spellEnd"/>
      <w:r w:rsidR="00122D41" w:rsidRPr="00174A88">
        <w:t xml:space="preserve"> (</w:t>
      </w:r>
      <w:r w:rsidR="00DE5B7A">
        <w:t>o</w:t>
      </w:r>
      <w:r w:rsidR="00122D41" w:rsidRPr="00174A88">
        <w:t xml:space="preserve">pinion </w:t>
      </w:r>
      <w:r w:rsidR="00DE5B7A">
        <w:t xml:space="preserve">No. </w:t>
      </w:r>
      <w:r w:rsidR="00122D41" w:rsidRPr="00174A88">
        <w:t xml:space="preserve">28/2013 </w:t>
      </w:r>
      <w:r w:rsidR="00122D41" w:rsidRPr="00832DCD">
        <w:t>(Islamic Republic of Iran)</w:t>
      </w:r>
      <w:r w:rsidR="00DE5B7A" w:rsidRPr="00832DCD">
        <w:t>)</w:t>
      </w:r>
      <w:r w:rsidR="00D20A18" w:rsidRPr="00832DCD">
        <w:t>.</w:t>
      </w:r>
      <w:r w:rsidR="00CE0EF5">
        <w:t xml:space="preserve"> </w:t>
      </w:r>
      <w:r w:rsidR="00D20A18" w:rsidRPr="00174A88">
        <w:t>According to the Government,</w:t>
      </w:r>
      <w:r w:rsidR="00A00E2D">
        <w:t xml:space="preserve"> Mr. </w:t>
      </w:r>
      <w:proofErr w:type="spellStart"/>
      <w:r w:rsidR="00D20A18" w:rsidRPr="00174A88">
        <w:t>Hekmati</w:t>
      </w:r>
      <w:proofErr w:type="spellEnd"/>
      <w:r w:rsidR="00D20A18" w:rsidRPr="00174A88">
        <w:t xml:space="preserve"> was tried by </w:t>
      </w:r>
      <w:r w:rsidR="00122D41" w:rsidRPr="00174A88">
        <w:t>B</w:t>
      </w:r>
      <w:r w:rsidR="00D20A18" w:rsidRPr="00174A88">
        <w:t xml:space="preserve">ranch 15 of the </w:t>
      </w:r>
      <w:r w:rsidR="00122D41" w:rsidRPr="00174A88">
        <w:t xml:space="preserve">Revolutionary </w:t>
      </w:r>
      <w:r w:rsidR="00D20A18" w:rsidRPr="00174A88">
        <w:t xml:space="preserve">Court of </w:t>
      </w:r>
      <w:r w:rsidR="00122D41" w:rsidRPr="00174A88">
        <w:t xml:space="preserve">Tehran </w:t>
      </w:r>
      <w:r w:rsidR="00D20A18" w:rsidRPr="00174A88">
        <w:t xml:space="preserve">on charges of cooperation with the </w:t>
      </w:r>
      <w:r w:rsidR="00122D41" w:rsidRPr="00174A88">
        <w:t>G</w:t>
      </w:r>
      <w:r w:rsidR="00D20A18" w:rsidRPr="00174A88">
        <w:t>overnment of the United States</w:t>
      </w:r>
      <w:r w:rsidR="00122D41" w:rsidRPr="00174A88">
        <w:t xml:space="preserve"> of America </w:t>
      </w:r>
      <w:r w:rsidR="00D20A18" w:rsidRPr="00174A88">
        <w:t xml:space="preserve">and </w:t>
      </w:r>
      <w:r w:rsidR="00122D41" w:rsidRPr="00174A88">
        <w:t xml:space="preserve">its </w:t>
      </w:r>
      <w:r w:rsidR="00FB72FF">
        <w:t>C</w:t>
      </w:r>
      <w:r w:rsidR="00122D41" w:rsidRPr="00174A88">
        <w:t xml:space="preserve">entral </w:t>
      </w:r>
      <w:r w:rsidR="00FB72FF">
        <w:t>I</w:t>
      </w:r>
      <w:r w:rsidR="00122D41" w:rsidRPr="00174A88">
        <w:t xml:space="preserve">ntelligence </w:t>
      </w:r>
      <w:r w:rsidR="00FB72FF">
        <w:t>A</w:t>
      </w:r>
      <w:r w:rsidR="00122D41" w:rsidRPr="00174A88">
        <w:t xml:space="preserve">gency </w:t>
      </w:r>
      <w:r w:rsidR="00FB72FF">
        <w:t>(</w:t>
      </w:r>
      <w:r w:rsidR="00D20A18" w:rsidRPr="00174A88">
        <w:t>the CIA</w:t>
      </w:r>
      <w:r w:rsidR="00FB72FF">
        <w:t>)</w:t>
      </w:r>
      <w:r w:rsidR="009B0452" w:rsidRPr="00174A88">
        <w:t>,</w:t>
      </w:r>
      <w:r w:rsidR="00D20A18" w:rsidRPr="00174A88">
        <w:t xml:space="preserve"> to work against the system of the Islamic Republic</w:t>
      </w:r>
      <w:r w:rsidR="00392329">
        <w:t xml:space="preserve"> of Iran</w:t>
      </w:r>
      <w:r w:rsidR="009B0452" w:rsidRPr="00174A88">
        <w:t>.</w:t>
      </w:r>
      <w:r w:rsidR="00D20A18" w:rsidRPr="00174A88">
        <w:t xml:space="preserve"> The </w:t>
      </w:r>
      <w:r w:rsidR="00FB72FF">
        <w:t>C</w:t>
      </w:r>
      <w:r w:rsidR="00D20A18" w:rsidRPr="00174A88">
        <w:t>ourt found</w:t>
      </w:r>
      <w:r w:rsidR="00A00E2D">
        <w:t xml:space="preserve"> Mr. </w:t>
      </w:r>
      <w:proofErr w:type="spellStart"/>
      <w:r w:rsidR="00D20A18" w:rsidRPr="00174A88">
        <w:t>Hekmati</w:t>
      </w:r>
      <w:proofErr w:type="spellEnd"/>
      <w:r w:rsidR="00D20A18" w:rsidRPr="00174A88">
        <w:t xml:space="preserve"> guilty of the charges and sentenced him to death.</w:t>
      </w:r>
      <w:r w:rsidR="00CE0EF5">
        <w:t xml:space="preserve"> </w:t>
      </w:r>
      <w:r w:rsidR="00D20A18" w:rsidRPr="00174A88">
        <w:t>His counsel appealed the judgement and</w:t>
      </w:r>
      <w:r w:rsidR="00A00E2D">
        <w:t xml:space="preserve"> Mr. </w:t>
      </w:r>
      <w:proofErr w:type="spellStart"/>
      <w:r w:rsidR="00D20A18" w:rsidRPr="00174A88">
        <w:t>Hekmati’s</w:t>
      </w:r>
      <w:proofErr w:type="spellEnd"/>
      <w:r w:rsidR="00D20A18" w:rsidRPr="00174A88">
        <w:t xml:space="preserve"> sentence was subsequently reduced to 10 years of imprisonment.</w:t>
      </w:r>
      <w:r w:rsidR="00CE0EF5">
        <w:t xml:space="preserve"> </w:t>
      </w:r>
      <w:r w:rsidR="00FB72FF">
        <w:t>H</w:t>
      </w:r>
      <w:r w:rsidR="00D20A18" w:rsidRPr="00174A88">
        <w:t xml:space="preserve">is counsel appealed the reduced sentence, </w:t>
      </w:r>
      <w:r w:rsidR="00FB72FF">
        <w:t xml:space="preserve">but </w:t>
      </w:r>
      <w:r w:rsidR="00D20A18" w:rsidRPr="00174A88">
        <w:t xml:space="preserve">the appellate court upheld the sentence. </w:t>
      </w:r>
    </w:p>
    <w:p w:rsidR="00D20A18" w:rsidRPr="00174A88" w:rsidRDefault="0021743E" w:rsidP="0021743E">
      <w:pPr>
        <w:pStyle w:val="SingleTxtG"/>
      </w:pPr>
      <w:r w:rsidRPr="00174A88">
        <w:rPr>
          <w:lang w:val="en-US"/>
        </w:rPr>
        <w:t>22.</w:t>
      </w:r>
      <w:r w:rsidRPr="00174A88">
        <w:rPr>
          <w:lang w:val="en-US"/>
        </w:rPr>
        <w:tab/>
      </w:r>
      <w:r w:rsidR="00D20A18" w:rsidRPr="00174A88">
        <w:t xml:space="preserve">By letter dated 27 January 2014, the Government of Turkmenistan sent additional information on the case of </w:t>
      </w:r>
      <w:proofErr w:type="spellStart"/>
      <w:r w:rsidR="00D20A18" w:rsidRPr="00174A88">
        <w:t>Gulgeldy</w:t>
      </w:r>
      <w:proofErr w:type="spellEnd"/>
      <w:r w:rsidR="00D20A18" w:rsidRPr="00174A88">
        <w:t xml:space="preserve"> </w:t>
      </w:r>
      <w:proofErr w:type="spellStart"/>
      <w:r w:rsidR="00D20A18" w:rsidRPr="00174A88">
        <w:t>Annaniyazov</w:t>
      </w:r>
      <w:proofErr w:type="spellEnd"/>
      <w:r w:rsidR="009B0452" w:rsidRPr="00174A88">
        <w:t xml:space="preserve"> (</w:t>
      </w:r>
      <w:r w:rsidR="00FB72FF">
        <w:t>o</w:t>
      </w:r>
      <w:r w:rsidR="009B0452" w:rsidRPr="00174A88">
        <w:t xml:space="preserve">pinion </w:t>
      </w:r>
      <w:r w:rsidR="00FB72FF">
        <w:t xml:space="preserve">No. </w:t>
      </w:r>
      <w:r w:rsidR="009B0452" w:rsidRPr="00174A88">
        <w:t>22/2013 (Turkmenistan)</w:t>
      </w:r>
      <w:r w:rsidR="00FB72FF">
        <w:t>)</w:t>
      </w:r>
      <w:r w:rsidR="009B0452" w:rsidRPr="00174A88">
        <w:t>.</w:t>
      </w:r>
      <w:r w:rsidR="00D20A18" w:rsidRPr="00174A88">
        <w:t xml:space="preserve"> The Government informed</w:t>
      </w:r>
      <w:r w:rsidR="00E90D8E">
        <w:t xml:space="preserve"> the Working Group</w:t>
      </w:r>
      <w:r w:rsidR="00D20A18" w:rsidRPr="00174A88">
        <w:t xml:space="preserve"> that</w:t>
      </w:r>
      <w:r w:rsidR="00A00E2D">
        <w:t xml:space="preserve"> Mr. </w:t>
      </w:r>
      <w:proofErr w:type="spellStart"/>
      <w:r w:rsidR="00D20A18" w:rsidRPr="00174A88">
        <w:t>Annaiyazov</w:t>
      </w:r>
      <w:proofErr w:type="spellEnd"/>
      <w:r w:rsidR="00D20A18" w:rsidRPr="00174A88">
        <w:t xml:space="preserve"> </w:t>
      </w:r>
      <w:r w:rsidR="00E90D8E">
        <w:t xml:space="preserve">had </w:t>
      </w:r>
      <w:r w:rsidR="00D20A18" w:rsidRPr="00174A88">
        <w:t>stole</w:t>
      </w:r>
      <w:r w:rsidR="00E90D8E">
        <w:t>n</w:t>
      </w:r>
      <w:r w:rsidR="00D20A18" w:rsidRPr="00174A88">
        <w:t xml:space="preserve"> a passport of another resident of Ashgabat </w:t>
      </w:r>
      <w:r w:rsidR="00E90D8E">
        <w:t>C</w:t>
      </w:r>
      <w:r w:rsidR="00D20A18" w:rsidRPr="00174A88">
        <w:t>ity in July 2002 for the purpose of illegally crossing the border to travel to the Russian Federation via Kazakhstan.</w:t>
      </w:r>
      <w:r w:rsidR="00CE0EF5">
        <w:t xml:space="preserve"> </w:t>
      </w:r>
      <w:r w:rsidR="00D20A18" w:rsidRPr="00174A88">
        <w:t>When he returned to Turkmenistan in June 2008, he crossed the border without proper documents and permits.</w:t>
      </w:r>
      <w:r w:rsidR="00CE0EF5">
        <w:t xml:space="preserve"> </w:t>
      </w:r>
      <w:r w:rsidR="00D20A18" w:rsidRPr="00174A88">
        <w:t xml:space="preserve">The Government </w:t>
      </w:r>
      <w:r w:rsidR="009B0452" w:rsidRPr="00174A88">
        <w:t xml:space="preserve">considered </w:t>
      </w:r>
      <w:r w:rsidR="009C7868" w:rsidRPr="00174A88">
        <w:t>that the</w:t>
      </w:r>
      <w:r w:rsidR="00D20A18" w:rsidRPr="00174A88">
        <w:t xml:space="preserve"> Working Group’s reasoning</w:t>
      </w:r>
      <w:r w:rsidR="009B0452" w:rsidRPr="00174A88">
        <w:t xml:space="preserve"> was</w:t>
      </w:r>
      <w:r w:rsidR="00D20A18" w:rsidRPr="00174A88">
        <w:t xml:space="preserve"> incorrect, as </w:t>
      </w:r>
      <w:r w:rsidR="006E299D">
        <w:t>Mr. </w:t>
      </w:r>
      <w:proofErr w:type="spellStart"/>
      <w:r w:rsidR="00E90D8E">
        <w:t>Annaiyazov’s</w:t>
      </w:r>
      <w:proofErr w:type="spellEnd"/>
      <w:r w:rsidR="00E90D8E" w:rsidRPr="00174A88">
        <w:t xml:space="preserve"> </w:t>
      </w:r>
      <w:r w:rsidR="00D20A18" w:rsidRPr="00174A88">
        <w:t xml:space="preserve">case </w:t>
      </w:r>
      <w:r w:rsidR="00E90D8E">
        <w:t>had been</w:t>
      </w:r>
      <w:r w:rsidR="00D20A18" w:rsidRPr="00174A88">
        <w:t xml:space="preserve"> properly investigated and his </w:t>
      </w:r>
      <w:r w:rsidR="00E90D8E">
        <w:t>punishment</w:t>
      </w:r>
      <w:r w:rsidR="00E90D8E" w:rsidRPr="00174A88">
        <w:t xml:space="preserve"> </w:t>
      </w:r>
      <w:r w:rsidR="00E90D8E">
        <w:t>had been</w:t>
      </w:r>
      <w:r w:rsidR="00D20A18" w:rsidRPr="00174A88">
        <w:t xml:space="preserve"> determined </w:t>
      </w:r>
      <w:r w:rsidR="00E90D8E">
        <w:t xml:space="preserve">in </w:t>
      </w:r>
      <w:r w:rsidR="00D20A18" w:rsidRPr="00174A88">
        <w:t>accord</w:t>
      </w:r>
      <w:r w:rsidR="00E90D8E">
        <w:t>ance with</w:t>
      </w:r>
      <w:r w:rsidR="00D20A18" w:rsidRPr="00174A88">
        <w:t xml:space="preserve"> the law.</w:t>
      </w:r>
      <w:r w:rsidR="00CE0EF5">
        <w:t xml:space="preserve"> </w:t>
      </w:r>
    </w:p>
    <w:p w:rsidR="007A0E66" w:rsidRPr="00174A88" w:rsidRDefault="0021743E" w:rsidP="0021743E">
      <w:pPr>
        <w:pStyle w:val="SingleTxtG"/>
      </w:pPr>
      <w:r w:rsidRPr="00174A88">
        <w:rPr>
          <w:lang w:val="en-US"/>
        </w:rPr>
        <w:t>23.</w:t>
      </w:r>
      <w:r w:rsidRPr="00174A88">
        <w:rPr>
          <w:lang w:val="en-US"/>
        </w:rPr>
        <w:tab/>
      </w:r>
      <w:r w:rsidR="009B0452" w:rsidRPr="00174A88">
        <w:t>By le</w:t>
      </w:r>
      <w:r w:rsidR="00430B0B" w:rsidRPr="00174A88">
        <w:t>tter dated 1 July 2014, the Government of Iraq provided a late response on the case of</w:t>
      </w:r>
      <w:r w:rsidR="00A00E2D">
        <w:t xml:space="preserve"> </w:t>
      </w:r>
      <w:proofErr w:type="spellStart"/>
      <w:r w:rsidR="00430B0B" w:rsidRPr="00174A88">
        <w:t>Shaw</w:t>
      </w:r>
      <w:r w:rsidR="00407A74">
        <w:t>q</w:t>
      </w:r>
      <w:r w:rsidR="00430B0B" w:rsidRPr="00174A88">
        <w:t>i</w:t>
      </w:r>
      <w:proofErr w:type="spellEnd"/>
      <w:r w:rsidR="00430B0B" w:rsidRPr="00174A88">
        <w:t xml:space="preserve"> Ahm</w:t>
      </w:r>
      <w:r w:rsidR="00407A74">
        <w:t>a</w:t>
      </w:r>
      <w:r w:rsidR="00430B0B" w:rsidRPr="00174A88">
        <w:t>d Omar, explaining the judicial processes leading to</w:t>
      </w:r>
      <w:r w:rsidR="00A00E2D">
        <w:t xml:space="preserve"> Mr. </w:t>
      </w:r>
      <w:r w:rsidR="00430B0B" w:rsidRPr="00174A88">
        <w:t>Omar’s arrest and detention (</w:t>
      </w:r>
      <w:r w:rsidR="00E90D8E">
        <w:t>o</w:t>
      </w:r>
      <w:r w:rsidR="00430B0B" w:rsidRPr="00174A88">
        <w:t>pinion</w:t>
      </w:r>
      <w:r w:rsidR="00C71C14">
        <w:t xml:space="preserve"> No. </w:t>
      </w:r>
      <w:r w:rsidR="00430B0B" w:rsidRPr="00174A88">
        <w:t>5/2014 (Iraq)</w:t>
      </w:r>
      <w:r w:rsidR="00622237">
        <w:t>)</w:t>
      </w:r>
      <w:r w:rsidR="00430B0B" w:rsidRPr="00174A88">
        <w:t xml:space="preserve">. </w:t>
      </w:r>
      <w:r w:rsidR="007A0E66" w:rsidRPr="00174A88">
        <w:t>On</w:t>
      </w:r>
      <w:r w:rsidR="007A0E66">
        <w:t xml:space="preserve"> 9 October 2014, the Government</w:t>
      </w:r>
      <w:r w:rsidR="007A0E66" w:rsidRPr="00174A88">
        <w:t xml:space="preserve"> transmitted a response to </w:t>
      </w:r>
      <w:r w:rsidR="007A0E66">
        <w:t xml:space="preserve">OHCHR and the </w:t>
      </w:r>
      <w:r w:rsidR="007A0E66" w:rsidRPr="00174A88">
        <w:t xml:space="preserve">Committee on Enforced Disappearances concerning the case of </w:t>
      </w:r>
      <w:r w:rsidR="007A0E66">
        <w:t>Mr.</w:t>
      </w:r>
      <w:r w:rsidR="007A0E66" w:rsidRPr="00174A88">
        <w:t xml:space="preserve"> Omar (</w:t>
      </w:r>
      <w:r w:rsidR="007A0E66">
        <w:t>o</w:t>
      </w:r>
      <w:r w:rsidR="007A0E66" w:rsidRPr="00174A88">
        <w:t xml:space="preserve">pinion </w:t>
      </w:r>
      <w:r w:rsidR="007A0E66">
        <w:t xml:space="preserve">No. </w:t>
      </w:r>
      <w:r w:rsidR="007A0E66" w:rsidRPr="00174A88">
        <w:t>5/2014 (Iraq)</w:t>
      </w:r>
      <w:r w:rsidR="007A0E66">
        <w:t>)</w:t>
      </w:r>
      <w:r w:rsidR="007A0E66" w:rsidRPr="00174A88">
        <w:t>, stating that th</w:t>
      </w:r>
      <w:r w:rsidR="007A0E66">
        <w:t>e</w:t>
      </w:r>
      <w:r w:rsidR="007A0E66" w:rsidRPr="00174A88">
        <w:t xml:space="preserve"> case c</w:t>
      </w:r>
      <w:r w:rsidR="007A0E66">
        <w:t xml:space="preserve">ould </w:t>
      </w:r>
      <w:r w:rsidR="007A0E66" w:rsidRPr="00174A88">
        <w:t xml:space="preserve">not be considered </w:t>
      </w:r>
      <w:r w:rsidR="007A0E66">
        <w:t>one of</w:t>
      </w:r>
      <w:r w:rsidR="007A0E66" w:rsidRPr="00174A88">
        <w:t xml:space="preserve"> </w:t>
      </w:r>
      <w:r w:rsidR="007A0E66">
        <w:t>e</w:t>
      </w:r>
      <w:r w:rsidR="007A0E66" w:rsidRPr="00174A88">
        <w:t xml:space="preserve">nforced </w:t>
      </w:r>
      <w:r w:rsidR="007A0E66">
        <w:t>d</w:t>
      </w:r>
      <w:r w:rsidR="007A0E66" w:rsidRPr="00174A88">
        <w:t xml:space="preserve">isappearance, </w:t>
      </w:r>
      <w:r w:rsidR="007A0E66">
        <w:t>because</w:t>
      </w:r>
      <w:r w:rsidR="007A0E66" w:rsidRPr="00174A88">
        <w:t xml:space="preserve"> </w:t>
      </w:r>
      <w:r w:rsidR="007A0E66">
        <w:t>Mr. Omar’s</w:t>
      </w:r>
      <w:r w:rsidR="007A0E66" w:rsidRPr="00174A88">
        <w:t xml:space="preserve"> location of detention </w:t>
      </w:r>
      <w:r w:rsidR="007A0E66">
        <w:t>had been</w:t>
      </w:r>
      <w:r w:rsidR="007A0E66" w:rsidRPr="00174A88">
        <w:t xml:space="preserve"> identified</w:t>
      </w:r>
      <w:r w:rsidR="007A0E66">
        <w:t>,</w:t>
      </w:r>
      <w:r w:rsidR="007A0E66" w:rsidRPr="00174A88">
        <w:t xml:space="preserve"> as mentioned in the previous communications provided by the Iraqi </w:t>
      </w:r>
      <w:r w:rsidR="007A0E66">
        <w:t>a</w:t>
      </w:r>
      <w:r w:rsidR="007A0E66" w:rsidRPr="00174A88">
        <w:t>uthorities.</w:t>
      </w:r>
    </w:p>
    <w:p w:rsidR="009760E6" w:rsidRPr="00174A88" w:rsidRDefault="0021743E" w:rsidP="0021743E">
      <w:pPr>
        <w:pStyle w:val="SingleTxtG"/>
      </w:pPr>
      <w:r w:rsidRPr="00174A88">
        <w:rPr>
          <w:lang w:val="en-US"/>
        </w:rPr>
        <w:t>24.</w:t>
      </w:r>
      <w:r w:rsidRPr="00174A88">
        <w:rPr>
          <w:lang w:val="en-US"/>
        </w:rPr>
        <w:tab/>
      </w:r>
      <w:r w:rsidR="00430B0B" w:rsidRPr="00174A88">
        <w:t>By letter dated 14 July 2014, the Government of the United Arab Emirates</w:t>
      </w:r>
      <w:r w:rsidR="009760E6" w:rsidRPr="00174A88">
        <w:t xml:space="preserve"> provided a late response on the case of</w:t>
      </w:r>
      <w:r w:rsidR="00A00E2D">
        <w:t xml:space="preserve"> </w:t>
      </w:r>
      <w:proofErr w:type="spellStart"/>
      <w:r w:rsidR="009760E6" w:rsidRPr="00174A88">
        <w:t>Khalifa</w:t>
      </w:r>
      <w:proofErr w:type="spellEnd"/>
      <w:r w:rsidR="009760E6" w:rsidRPr="00174A88">
        <w:t xml:space="preserve"> </w:t>
      </w:r>
      <w:proofErr w:type="spellStart"/>
      <w:r w:rsidR="009760E6" w:rsidRPr="00174A88">
        <w:t>Rabia</w:t>
      </w:r>
      <w:proofErr w:type="spellEnd"/>
      <w:r w:rsidR="009760E6" w:rsidRPr="00174A88">
        <w:t xml:space="preserve"> </w:t>
      </w:r>
      <w:proofErr w:type="spellStart"/>
      <w:r w:rsidR="009760E6" w:rsidRPr="00174A88">
        <w:t>Najdi</w:t>
      </w:r>
      <w:proofErr w:type="spellEnd"/>
      <w:r w:rsidR="00407A74">
        <w:t xml:space="preserve"> (opinion No. 12/2014 (United Arab Emirates)), </w:t>
      </w:r>
      <w:r w:rsidR="009760E6" w:rsidRPr="00174A88">
        <w:t>stat</w:t>
      </w:r>
      <w:r w:rsidR="00407A74">
        <w:t>ing</w:t>
      </w:r>
      <w:r w:rsidR="009760E6" w:rsidRPr="00174A88">
        <w:t xml:space="preserve"> that</w:t>
      </w:r>
      <w:r w:rsidR="00A00E2D">
        <w:t xml:space="preserve"> Mr. </w:t>
      </w:r>
      <w:proofErr w:type="spellStart"/>
      <w:r w:rsidR="009760E6" w:rsidRPr="00174A88">
        <w:t>Nadji</w:t>
      </w:r>
      <w:proofErr w:type="spellEnd"/>
      <w:r w:rsidR="009760E6" w:rsidRPr="00174A88">
        <w:t xml:space="preserve"> </w:t>
      </w:r>
      <w:r w:rsidR="00407A74">
        <w:t>had been</w:t>
      </w:r>
      <w:r w:rsidR="009760E6" w:rsidRPr="00174A88">
        <w:t xml:space="preserve"> arrested for “committing a crime in accordance with </w:t>
      </w:r>
      <w:r w:rsidR="00245C60">
        <w:t>Article </w:t>
      </w:r>
      <w:r w:rsidR="009760E6" w:rsidRPr="00174A88">
        <w:t xml:space="preserve">180 </w:t>
      </w:r>
      <w:r w:rsidR="00245C60">
        <w:t>paragraph </w:t>
      </w:r>
      <w:r w:rsidR="009760E6" w:rsidRPr="00174A88">
        <w:t xml:space="preserve">2 of the Criminal Law, by joining an illegal secret organization opposing the fundamental principles underlying the ruling system and whose aim is to seize power”. </w:t>
      </w:r>
    </w:p>
    <w:p w:rsidR="00E54E6F" w:rsidRPr="00174A88" w:rsidRDefault="0021743E" w:rsidP="0021743E">
      <w:pPr>
        <w:pStyle w:val="SingleTxtG"/>
      </w:pPr>
      <w:r w:rsidRPr="00174A88">
        <w:rPr>
          <w:lang w:val="en-US"/>
        </w:rPr>
        <w:t>25.</w:t>
      </w:r>
      <w:r w:rsidRPr="00174A88">
        <w:rPr>
          <w:lang w:val="en-US"/>
        </w:rPr>
        <w:tab/>
      </w:r>
      <w:r w:rsidR="009760E6" w:rsidRPr="00174A88">
        <w:t>By letter dated 13 August 2014, the Government of Jordan provided a late response on the case of</w:t>
      </w:r>
      <w:r w:rsidR="00A00E2D">
        <w:t xml:space="preserve"> </w:t>
      </w:r>
      <w:proofErr w:type="spellStart"/>
      <w:r w:rsidR="0056717E">
        <w:t>Hisham</w:t>
      </w:r>
      <w:proofErr w:type="spellEnd"/>
      <w:r w:rsidR="00A00E2D">
        <w:t> </w:t>
      </w:r>
      <w:r w:rsidR="0056717E">
        <w:t>a</w:t>
      </w:r>
      <w:r w:rsidR="009760E6" w:rsidRPr="00174A88">
        <w:t xml:space="preserve">l </w:t>
      </w:r>
      <w:proofErr w:type="spellStart"/>
      <w:r w:rsidR="009760E6" w:rsidRPr="00174A88">
        <w:t>Heysah</w:t>
      </w:r>
      <w:proofErr w:type="spellEnd"/>
      <w:r w:rsidR="009760E6" w:rsidRPr="00174A88">
        <w:t xml:space="preserve"> and others (</w:t>
      </w:r>
      <w:r w:rsidR="00407A74">
        <w:t>o</w:t>
      </w:r>
      <w:r w:rsidR="009760E6" w:rsidRPr="00174A88">
        <w:t>pinion</w:t>
      </w:r>
      <w:r w:rsidR="00C71C14">
        <w:t xml:space="preserve"> No. </w:t>
      </w:r>
      <w:r w:rsidR="009760E6" w:rsidRPr="00174A88">
        <w:t>53/2013 (Jordan)</w:t>
      </w:r>
      <w:r w:rsidR="0056717E">
        <w:t>)</w:t>
      </w:r>
      <w:r w:rsidR="009760E6" w:rsidRPr="00174A88">
        <w:t>.</w:t>
      </w:r>
    </w:p>
    <w:p w:rsidR="00E54E6F" w:rsidRPr="00174A88" w:rsidRDefault="0021743E" w:rsidP="0021743E">
      <w:pPr>
        <w:pStyle w:val="SingleTxtG"/>
      </w:pPr>
      <w:r w:rsidRPr="00174A88">
        <w:rPr>
          <w:lang w:val="en-US"/>
        </w:rPr>
        <w:t>26.</w:t>
      </w:r>
      <w:r w:rsidRPr="00174A88">
        <w:rPr>
          <w:lang w:val="en-US"/>
        </w:rPr>
        <w:tab/>
      </w:r>
      <w:r w:rsidR="00A43AB8" w:rsidRPr="00174A88">
        <w:t xml:space="preserve">By letter dated 2 September 2014, the Government </w:t>
      </w:r>
      <w:r w:rsidR="00E54E6F" w:rsidRPr="00174A88">
        <w:t>of</w:t>
      </w:r>
      <w:r w:rsidR="00CE0EF5">
        <w:t xml:space="preserve"> </w:t>
      </w:r>
      <w:r w:rsidR="00E54E6F" w:rsidRPr="00174A88">
        <w:t xml:space="preserve">the </w:t>
      </w:r>
      <w:proofErr w:type="spellStart"/>
      <w:r w:rsidR="00E54E6F" w:rsidRPr="00174A88">
        <w:t>Plurinational</w:t>
      </w:r>
      <w:proofErr w:type="spellEnd"/>
      <w:r w:rsidR="00E54E6F" w:rsidRPr="00174A88">
        <w:t xml:space="preserve"> </w:t>
      </w:r>
      <w:r w:rsidR="00401D15">
        <w:t xml:space="preserve">State </w:t>
      </w:r>
      <w:r w:rsidR="00E54E6F" w:rsidRPr="00174A88">
        <w:t xml:space="preserve">of Bolivia </w:t>
      </w:r>
      <w:r w:rsidR="00A43AB8" w:rsidRPr="00174A88">
        <w:t>sent a late response regarding the case of</w:t>
      </w:r>
      <w:r w:rsidR="00A00E2D">
        <w:t xml:space="preserve"> </w:t>
      </w:r>
      <w:r w:rsidR="00E54E6F" w:rsidRPr="00174A88">
        <w:t xml:space="preserve">Mario Francisco </w:t>
      </w:r>
      <w:proofErr w:type="spellStart"/>
      <w:r w:rsidR="00E54E6F" w:rsidRPr="00174A88">
        <w:t>Tadic</w:t>
      </w:r>
      <w:proofErr w:type="spellEnd"/>
      <w:r w:rsidR="00E54E6F" w:rsidRPr="00174A88">
        <w:t xml:space="preserve"> </w:t>
      </w:r>
      <w:proofErr w:type="spellStart"/>
      <w:r w:rsidR="00E54E6F" w:rsidRPr="00174A88">
        <w:t>Astorga</w:t>
      </w:r>
      <w:proofErr w:type="spellEnd"/>
      <w:r w:rsidR="00E54E6F" w:rsidRPr="00174A88">
        <w:t xml:space="preserve"> (</w:t>
      </w:r>
      <w:r w:rsidR="0056717E">
        <w:t>o</w:t>
      </w:r>
      <w:r w:rsidR="00E54E6F" w:rsidRPr="00174A88">
        <w:t xml:space="preserve">pinion </w:t>
      </w:r>
      <w:r w:rsidR="0056717E">
        <w:t xml:space="preserve">No. </w:t>
      </w:r>
      <w:r w:rsidR="00E54E6F" w:rsidRPr="00174A88">
        <w:t>28/2014 (</w:t>
      </w:r>
      <w:proofErr w:type="spellStart"/>
      <w:r w:rsidR="0056717E">
        <w:t>Plurinational</w:t>
      </w:r>
      <w:proofErr w:type="spellEnd"/>
      <w:r w:rsidR="0056717E">
        <w:t xml:space="preserve"> State of </w:t>
      </w:r>
      <w:r w:rsidR="00E54E6F" w:rsidRPr="00174A88">
        <w:t>Bolivia)</w:t>
      </w:r>
      <w:r w:rsidR="006E299D">
        <w:t>)</w:t>
      </w:r>
      <w:r w:rsidR="00E54E6F" w:rsidRPr="00174A88">
        <w:t xml:space="preserve">. </w:t>
      </w:r>
      <w:r w:rsidR="00A43AB8" w:rsidRPr="00174A88">
        <w:t>In its response, the Government denied all the allegations put forward by the source, including the allegations of torture</w:t>
      </w:r>
      <w:r w:rsidR="00D816DF">
        <w:t>,</w:t>
      </w:r>
      <w:r w:rsidR="00A43AB8" w:rsidRPr="00174A88">
        <w:t xml:space="preserve"> and that</w:t>
      </w:r>
      <w:r w:rsidR="00A00E2D">
        <w:t xml:space="preserve"> Mr. </w:t>
      </w:r>
      <w:proofErr w:type="spellStart"/>
      <w:r w:rsidR="00A43AB8" w:rsidRPr="00174A88">
        <w:t>Astorga</w:t>
      </w:r>
      <w:proofErr w:type="spellEnd"/>
      <w:r w:rsidR="00A43AB8" w:rsidRPr="00174A88">
        <w:t xml:space="preserve"> had not had access to legal counsel</w:t>
      </w:r>
      <w:r w:rsidR="00E54E6F" w:rsidRPr="00174A88">
        <w:t>.</w:t>
      </w:r>
    </w:p>
    <w:p w:rsidR="00E54E6F" w:rsidRPr="00174A88" w:rsidRDefault="0021743E" w:rsidP="0021743E">
      <w:pPr>
        <w:pStyle w:val="SingleTxtG"/>
      </w:pPr>
      <w:r w:rsidRPr="00174A88">
        <w:rPr>
          <w:lang w:val="en-US"/>
        </w:rPr>
        <w:t>27.</w:t>
      </w:r>
      <w:r w:rsidRPr="00174A88">
        <w:rPr>
          <w:lang w:val="en-US"/>
        </w:rPr>
        <w:tab/>
      </w:r>
      <w:r w:rsidR="00A43AB8" w:rsidRPr="00174A88">
        <w:t xml:space="preserve">By letter dated 30 September 2014, the Government of Bahrain provided a late response </w:t>
      </w:r>
      <w:r w:rsidR="00D816DF">
        <w:t>regarding</w:t>
      </w:r>
      <w:r w:rsidR="00A43AB8" w:rsidRPr="00174A88">
        <w:t xml:space="preserve"> the case of</w:t>
      </w:r>
      <w:r w:rsidR="00A00E2D">
        <w:t xml:space="preserve"> </w:t>
      </w:r>
      <w:proofErr w:type="spellStart"/>
      <w:r w:rsidR="00E54E6F" w:rsidRPr="00174A88">
        <w:t>Jassim</w:t>
      </w:r>
      <w:proofErr w:type="spellEnd"/>
      <w:r w:rsidR="00E54E6F" w:rsidRPr="00174A88">
        <w:t xml:space="preserve"> </w:t>
      </w:r>
      <w:r w:rsidR="00A43AB8" w:rsidRPr="00174A88">
        <w:t>al-</w:t>
      </w:r>
      <w:proofErr w:type="spellStart"/>
      <w:r w:rsidR="00A43AB8" w:rsidRPr="00174A88">
        <w:t>Hulaibi</w:t>
      </w:r>
      <w:proofErr w:type="spellEnd"/>
      <w:r w:rsidR="00E54E6F" w:rsidRPr="00174A88">
        <w:t xml:space="preserve"> (</w:t>
      </w:r>
      <w:r w:rsidR="00D816DF">
        <w:t>o</w:t>
      </w:r>
      <w:r w:rsidR="00E54E6F" w:rsidRPr="00174A88">
        <w:t xml:space="preserve">pinion </w:t>
      </w:r>
      <w:r w:rsidR="00D816DF">
        <w:t xml:space="preserve">No. </w:t>
      </w:r>
      <w:r w:rsidR="00E54E6F" w:rsidRPr="00174A88">
        <w:t>22/2014</w:t>
      </w:r>
      <w:r w:rsidR="00D816DF">
        <w:t xml:space="preserve"> (Bahrain)</w:t>
      </w:r>
      <w:r w:rsidR="00E54E6F" w:rsidRPr="00174A88">
        <w:t>)</w:t>
      </w:r>
      <w:r w:rsidR="00A43AB8" w:rsidRPr="00174A88">
        <w:t>.</w:t>
      </w:r>
      <w:r w:rsidR="00CE0EF5">
        <w:t xml:space="preserve"> </w:t>
      </w:r>
    </w:p>
    <w:p w:rsidR="00AD19C5" w:rsidRPr="00174A88" w:rsidRDefault="0021743E" w:rsidP="0021743E">
      <w:pPr>
        <w:pStyle w:val="SingleTxtG"/>
      </w:pPr>
      <w:r w:rsidRPr="00174A88">
        <w:rPr>
          <w:lang w:val="en-US"/>
        </w:rPr>
        <w:t>28.</w:t>
      </w:r>
      <w:r w:rsidRPr="00174A88">
        <w:rPr>
          <w:lang w:val="en-US"/>
        </w:rPr>
        <w:tab/>
      </w:r>
      <w:r w:rsidR="00AD19C5" w:rsidRPr="00174A88">
        <w:t xml:space="preserve">By note </w:t>
      </w:r>
      <w:proofErr w:type="spellStart"/>
      <w:r w:rsidR="00AD19C5" w:rsidRPr="00174A88">
        <w:t>verbale</w:t>
      </w:r>
      <w:proofErr w:type="spellEnd"/>
      <w:r w:rsidR="00AD19C5" w:rsidRPr="00174A88">
        <w:t xml:space="preserve"> dated 20 February 2015, the Government of Thailand submitted a late response </w:t>
      </w:r>
      <w:r w:rsidR="00DC69E1">
        <w:t>regarding</w:t>
      </w:r>
      <w:r w:rsidR="00DC69E1" w:rsidRPr="00174A88">
        <w:t xml:space="preserve"> </w:t>
      </w:r>
      <w:r w:rsidR="00AD19C5" w:rsidRPr="00174A88">
        <w:t xml:space="preserve">the case of </w:t>
      </w:r>
      <w:proofErr w:type="spellStart"/>
      <w:r w:rsidR="00AD19C5" w:rsidRPr="00174A88">
        <w:t>Patiwat</w:t>
      </w:r>
      <w:proofErr w:type="spellEnd"/>
      <w:r w:rsidR="00AD19C5" w:rsidRPr="00174A88">
        <w:t xml:space="preserve"> </w:t>
      </w:r>
      <w:proofErr w:type="spellStart"/>
      <w:r w:rsidR="00AD19C5" w:rsidRPr="00174A88">
        <w:t>Saraiyaem</w:t>
      </w:r>
      <w:proofErr w:type="spellEnd"/>
      <w:r w:rsidR="00AD19C5" w:rsidRPr="00174A88">
        <w:t xml:space="preserve"> </w:t>
      </w:r>
      <w:r w:rsidR="00DC69E1">
        <w:t>(o</w:t>
      </w:r>
      <w:r w:rsidR="00AD19C5" w:rsidRPr="00174A88">
        <w:t>pinion</w:t>
      </w:r>
      <w:r w:rsidR="00C71C14">
        <w:t xml:space="preserve"> No. </w:t>
      </w:r>
      <w:r w:rsidR="00AD19C5" w:rsidRPr="00174A88">
        <w:t>41/2014 (Thailand)</w:t>
      </w:r>
      <w:r w:rsidR="00DC69E1">
        <w:t>)</w:t>
      </w:r>
      <w:r w:rsidR="00AD19C5" w:rsidRPr="00174A88">
        <w:t xml:space="preserve">. According to the Government, the arrest and detention of </w:t>
      </w:r>
      <w:r w:rsidR="00885B04">
        <w:t>Mr. </w:t>
      </w:r>
      <w:proofErr w:type="spellStart"/>
      <w:r w:rsidR="00885B04" w:rsidRPr="00885B04">
        <w:t>Saraiyaem</w:t>
      </w:r>
      <w:proofErr w:type="spellEnd"/>
      <w:r w:rsidR="00AD19C5" w:rsidRPr="00174A88">
        <w:t xml:space="preserve"> was in full compliance with international norms, including relevant provisions of the </w:t>
      </w:r>
      <w:r w:rsidR="00885B04">
        <w:t>International Covenant on Civil and Political Rights</w:t>
      </w:r>
      <w:r w:rsidR="00AD19C5" w:rsidRPr="00174A88">
        <w:t>.</w:t>
      </w:r>
      <w:r w:rsidR="00A00E2D">
        <w:t xml:space="preserve"> Mr. </w:t>
      </w:r>
      <w:proofErr w:type="spellStart"/>
      <w:r w:rsidR="00AD19C5" w:rsidRPr="00174A88">
        <w:t>Saraiyaem</w:t>
      </w:r>
      <w:proofErr w:type="spellEnd"/>
      <w:r w:rsidR="00AD19C5" w:rsidRPr="00174A88">
        <w:t xml:space="preserve"> had pleaded guilty on the lese-majes</w:t>
      </w:r>
      <w:r w:rsidR="00885B04">
        <w:t>ty</w:t>
      </w:r>
      <w:r w:rsidR="00AD19C5" w:rsidRPr="00174A88">
        <w:t xml:space="preserve"> charge on 29 December 2014. </w:t>
      </w:r>
      <w:proofErr w:type="gramStart"/>
      <w:r w:rsidR="00AD19C5" w:rsidRPr="00174A88">
        <w:t>If found guilty, he could seek a royal pardon from the King, which had been granted in most lese-majes</w:t>
      </w:r>
      <w:r w:rsidR="00885B04">
        <w:t>ty</w:t>
      </w:r>
      <w:r w:rsidR="00AD19C5" w:rsidRPr="00174A88">
        <w:t xml:space="preserve"> cases.</w:t>
      </w:r>
      <w:proofErr w:type="gramEnd"/>
      <w:r w:rsidR="00AD19C5" w:rsidRPr="00174A88">
        <w:t xml:space="preserve"> </w:t>
      </w:r>
    </w:p>
    <w:p w:rsidR="00E85639" w:rsidRPr="00174A88" w:rsidRDefault="0021743E" w:rsidP="0021743E">
      <w:pPr>
        <w:pStyle w:val="SingleTxtG"/>
      </w:pPr>
      <w:r w:rsidRPr="00174A88">
        <w:rPr>
          <w:lang w:val="en-US"/>
        </w:rPr>
        <w:t>29.</w:t>
      </w:r>
      <w:r w:rsidRPr="00174A88">
        <w:rPr>
          <w:lang w:val="en-US"/>
        </w:rPr>
        <w:tab/>
      </w:r>
      <w:r w:rsidR="00E85639" w:rsidRPr="00174A88">
        <w:t xml:space="preserve">Concerning </w:t>
      </w:r>
      <w:r w:rsidR="00885B04">
        <w:t>o</w:t>
      </w:r>
      <w:r w:rsidR="00E85639" w:rsidRPr="00174A88">
        <w:t>pinion</w:t>
      </w:r>
      <w:r w:rsidR="00C71C14">
        <w:t xml:space="preserve"> No. </w:t>
      </w:r>
      <w:r w:rsidR="00E85639" w:rsidRPr="00174A88">
        <w:t>50/2014 (United States of America and Cuba), the Government of Cuba pointed out</w:t>
      </w:r>
      <w:r w:rsidR="000D26B1" w:rsidRPr="00174A88">
        <w:t xml:space="preserve">, in a note </w:t>
      </w:r>
      <w:proofErr w:type="spellStart"/>
      <w:r w:rsidR="000D26B1" w:rsidRPr="00174A88">
        <w:t>verbale</w:t>
      </w:r>
      <w:proofErr w:type="spellEnd"/>
      <w:r w:rsidR="000D26B1" w:rsidRPr="00174A88">
        <w:t xml:space="preserve"> dated 16 March 2015, that it could not do anything to prevent the use by the </w:t>
      </w:r>
      <w:r w:rsidR="00885B04">
        <w:t xml:space="preserve">Government of the </w:t>
      </w:r>
      <w:r w:rsidR="000D26B1" w:rsidRPr="00174A88">
        <w:t>United States of the Guant</w:t>
      </w:r>
      <w:r w:rsidR="00885B04">
        <w:t>a</w:t>
      </w:r>
      <w:r w:rsidR="000D26B1" w:rsidRPr="00174A88">
        <w:t>namo Bay</w:t>
      </w:r>
      <w:r w:rsidR="00885B04">
        <w:t xml:space="preserve"> </w:t>
      </w:r>
      <w:r w:rsidR="00885B04" w:rsidRPr="00885B04">
        <w:t>Naval Base</w:t>
      </w:r>
      <w:r w:rsidR="000D26B1" w:rsidRPr="00174A88">
        <w:t>. Although Cuba has sovereignty over its entire national territory, the United States exercises jurisdiction over the territory of the Guant</w:t>
      </w:r>
      <w:r w:rsidR="00885B04">
        <w:t>a</w:t>
      </w:r>
      <w:r w:rsidR="000D26B1" w:rsidRPr="00174A88">
        <w:t>namo</w:t>
      </w:r>
      <w:r w:rsidR="00885B04">
        <w:t xml:space="preserve"> Bay</w:t>
      </w:r>
      <w:r w:rsidR="000D26B1" w:rsidRPr="00174A88">
        <w:t xml:space="preserve"> Naval Base </w:t>
      </w:r>
      <w:r w:rsidR="00885B04">
        <w:t>owing</w:t>
      </w:r>
      <w:r w:rsidR="000D26B1" w:rsidRPr="00174A88">
        <w:t xml:space="preserve"> to its illegal occupation.</w:t>
      </w:r>
      <w:r w:rsidR="00CE0EF5">
        <w:t xml:space="preserve"> </w:t>
      </w:r>
      <w:r w:rsidR="00885B04">
        <w:t>The r</w:t>
      </w:r>
      <w:r w:rsidR="003A6951">
        <w:t>eply f</w:t>
      </w:r>
      <w:r w:rsidR="00885B04">
        <w:t>r</w:t>
      </w:r>
      <w:r w:rsidR="003A6951">
        <w:t xml:space="preserve">om the Government of Cuba </w:t>
      </w:r>
      <w:r w:rsidR="00234A12">
        <w:t>regarding</w:t>
      </w:r>
      <w:r w:rsidR="003A6951">
        <w:t xml:space="preserve"> </w:t>
      </w:r>
      <w:r w:rsidR="00234A12">
        <w:t>o</w:t>
      </w:r>
      <w:r w:rsidR="003A6951" w:rsidRPr="00174A88">
        <w:t>pinion</w:t>
      </w:r>
      <w:r w:rsidR="00C71C14">
        <w:t xml:space="preserve"> No. </w:t>
      </w:r>
      <w:r w:rsidR="003A6951" w:rsidRPr="00174A88">
        <w:t>50/2014</w:t>
      </w:r>
      <w:r w:rsidR="003A6951">
        <w:t xml:space="preserve"> </w:t>
      </w:r>
      <w:r w:rsidR="003A6951" w:rsidRPr="00832DCD">
        <w:t xml:space="preserve">is reproduced as received in the annex </w:t>
      </w:r>
      <w:r w:rsidR="00832DCD">
        <w:t>to</w:t>
      </w:r>
      <w:r w:rsidR="003A6951" w:rsidRPr="00832DCD">
        <w:t xml:space="preserve"> the </w:t>
      </w:r>
      <w:r w:rsidR="00234A12" w:rsidRPr="00832DCD">
        <w:t xml:space="preserve">present </w:t>
      </w:r>
      <w:r w:rsidR="003A6951" w:rsidRPr="00832DCD">
        <w:t>report</w:t>
      </w:r>
      <w:r w:rsidR="003A6951">
        <w:t>.</w:t>
      </w:r>
    </w:p>
    <w:p w:rsidR="00AD19C5" w:rsidRPr="00174A88" w:rsidRDefault="0021743E" w:rsidP="0021743E">
      <w:pPr>
        <w:pStyle w:val="SingleTxtG"/>
      </w:pPr>
      <w:r w:rsidRPr="00174A88">
        <w:rPr>
          <w:lang w:val="en-US"/>
        </w:rPr>
        <w:t>30.</w:t>
      </w:r>
      <w:r w:rsidRPr="00174A88">
        <w:rPr>
          <w:lang w:val="en-US"/>
        </w:rPr>
        <w:tab/>
      </w:r>
      <w:r w:rsidR="000D26B1" w:rsidRPr="00174A88">
        <w:t>The Government of Cuba expressed deep concern over the legal limbo that support</w:t>
      </w:r>
      <w:r w:rsidR="00234A12">
        <w:t>ed</w:t>
      </w:r>
      <w:r w:rsidR="000D26B1" w:rsidRPr="00174A88">
        <w:t xml:space="preserve"> ongoing violations by the </w:t>
      </w:r>
      <w:r w:rsidR="00234A12">
        <w:t xml:space="preserve">Government of the </w:t>
      </w:r>
      <w:r w:rsidR="000D26B1" w:rsidRPr="00174A88">
        <w:t xml:space="preserve">United States of human rights of inmates in the detention centre </w:t>
      </w:r>
      <w:r w:rsidR="00AD19C5" w:rsidRPr="00174A88">
        <w:t xml:space="preserve">illegally </w:t>
      </w:r>
      <w:r w:rsidR="000D26B1" w:rsidRPr="00174A88">
        <w:t>established</w:t>
      </w:r>
      <w:r w:rsidR="00AD19C5" w:rsidRPr="00174A88">
        <w:t xml:space="preserve"> </w:t>
      </w:r>
      <w:r w:rsidR="00234A12">
        <w:t>at</w:t>
      </w:r>
      <w:r w:rsidR="00234A12" w:rsidRPr="00174A88">
        <w:t xml:space="preserve"> </w:t>
      </w:r>
      <w:r w:rsidR="00AD19C5" w:rsidRPr="00174A88">
        <w:t>the</w:t>
      </w:r>
      <w:r w:rsidR="00234A12">
        <w:t xml:space="preserve"> Guanta</w:t>
      </w:r>
      <w:r w:rsidR="00234A12" w:rsidRPr="00234A12">
        <w:t>namo</w:t>
      </w:r>
      <w:r w:rsidR="00234A12">
        <w:t xml:space="preserve"> Bay </w:t>
      </w:r>
      <w:r w:rsidR="00AD19C5" w:rsidRPr="00174A88">
        <w:t>Naval Base, including torture and deaths in custody.</w:t>
      </w:r>
    </w:p>
    <w:p w:rsidR="00215F2E" w:rsidRPr="000D26B1" w:rsidRDefault="000D26B1" w:rsidP="00A540DF">
      <w:pPr>
        <w:pStyle w:val="H23G"/>
      </w:pPr>
      <w:r>
        <w:t xml:space="preserve"> </w:t>
      </w:r>
      <w:r w:rsidR="00215F2E" w:rsidRPr="000D26B1">
        <w:rPr>
          <w:color w:val="FF0000"/>
        </w:rPr>
        <w:tab/>
      </w:r>
      <w:r w:rsidR="00177C81" w:rsidRPr="000D26B1">
        <w:t>4.</w:t>
      </w:r>
      <w:r w:rsidR="00A540DF">
        <w:tab/>
      </w:r>
      <w:r w:rsidR="00215F2E" w:rsidRPr="000D26B1">
        <w:t>Release of subjects of the Working Group’s opinions</w:t>
      </w:r>
    </w:p>
    <w:p w:rsidR="00476B82" w:rsidRPr="00174A88" w:rsidRDefault="0021743E" w:rsidP="0021743E">
      <w:pPr>
        <w:pStyle w:val="SingleTxtG"/>
      </w:pPr>
      <w:r w:rsidRPr="00174A88">
        <w:rPr>
          <w:lang w:val="en-US"/>
        </w:rPr>
        <w:t>31.</w:t>
      </w:r>
      <w:r w:rsidRPr="00174A88">
        <w:rPr>
          <w:lang w:val="en-US"/>
        </w:rPr>
        <w:tab/>
      </w:r>
      <w:r w:rsidR="00215F2E" w:rsidRPr="00174A88">
        <w:t xml:space="preserve">The Working Group received information from Governments and sources on the release of the following subjects of its </w:t>
      </w:r>
      <w:r w:rsidR="0026202F" w:rsidRPr="00174A88">
        <w:t>o</w:t>
      </w:r>
      <w:r w:rsidR="00215F2E" w:rsidRPr="00174A88">
        <w:t>pinions</w:t>
      </w:r>
      <w:r w:rsidR="00AA38D1" w:rsidRPr="00174A88">
        <w:t xml:space="preserve">: </w:t>
      </w:r>
    </w:p>
    <w:p w:rsidR="00313777" w:rsidRPr="00174A88" w:rsidRDefault="0021743E" w:rsidP="0021743E">
      <w:pPr>
        <w:pStyle w:val="Bullet1G"/>
        <w:numPr>
          <w:ilvl w:val="0"/>
          <w:numId w:val="0"/>
        </w:numPr>
        <w:tabs>
          <w:tab w:val="left" w:pos="1701"/>
        </w:tabs>
        <w:ind w:left="1701" w:hanging="170"/>
      </w:pPr>
      <w:r w:rsidRPr="00174A88">
        <w:t>•</w:t>
      </w:r>
      <w:r w:rsidRPr="00174A88">
        <w:tab/>
      </w:r>
      <w:proofErr w:type="gramStart"/>
      <w:r w:rsidR="00313777" w:rsidRPr="00174A88">
        <w:t xml:space="preserve">Gao </w:t>
      </w:r>
      <w:proofErr w:type="spellStart"/>
      <w:r w:rsidR="00313777" w:rsidRPr="00174A88">
        <w:t>Zhisheng</w:t>
      </w:r>
      <w:proofErr w:type="spellEnd"/>
      <w:proofErr w:type="gramEnd"/>
      <w:r w:rsidR="00CE0EF5">
        <w:t xml:space="preserve"> </w:t>
      </w:r>
      <w:r w:rsidR="00313777" w:rsidRPr="00174A88">
        <w:t>(</w:t>
      </w:r>
      <w:r w:rsidR="00234A12">
        <w:t>o</w:t>
      </w:r>
      <w:r w:rsidR="00313777" w:rsidRPr="00174A88">
        <w:t>pinion</w:t>
      </w:r>
      <w:r w:rsidR="00C71C14">
        <w:t xml:space="preserve"> No. </w:t>
      </w:r>
      <w:r w:rsidR="00313777" w:rsidRPr="00174A88">
        <w:t>26/2010 (China)</w:t>
      </w:r>
      <w:r w:rsidR="00234A12">
        <w:t>)</w:t>
      </w:r>
      <w:r w:rsidR="00313777" w:rsidRPr="00174A88">
        <w:t xml:space="preserve"> was released on 7 August 2014</w:t>
      </w:r>
      <w:r w:rsidR="00622237">
        <w:t>.</w:t>
      </w:r>
    </w:p>
    <w:p w:rsidR="00313777" w:rsidRPr="00174A88" w:rsidRDefault="0021743E" w:rsidP="0021743E">
      <w:pPr>
        <w:pStyle w:val="Bullet1G"/>
        <w:numPr>
          <w:ilvl w:val="0"/>
          <w:numId w:val="0"/>
        </w:numPr>
        <w:tabs>
          <w:tab w:val="left" w:pos="1701"/>
        </w:tabs>
        <w:ind w:left="1701" w:hanging="170"/>
      </w:pPr>
      <w:r w:rsidRPr="00174A88">
        <w:t>•</w:t>
      </w:r>
      <w:r w:rsidRPr="00174A88">
        <w:tab/>
      </w:r>
      <w:proofErr w:type="spellStart"/>
      <w:r w:rsidR="00313777" w:rsidRPr="00174A88">
        <w:t>Issam</w:t>
      </w:r>
      <w:proofErr w:type="spellEnd"/>
      <w:r w:rsidR="00313777" w:rsidRPr="00174A88">
        <w:t xml:space="preserve"> </w:t>
      </w:r>
      <w:proofErr w:type="spellStart"/>
      <w:r w:rsidR="00313777" w:rsidRPr="00174A88">
        <w:t>Mahamed</w:t>
      </w:r>
      <w:proofErr w:type="spellEnd"/>
      <w:r w:rsidR="00313777" w:rsidRPr="00174A88">
        <w:t xml:space="preserve"> </w:t>
      </w:r>
      <w:proofErr w:type="spellStart"/>
      <w:r w:rsidR="00313777" w:rsidRPr="00174A88">
        <w:t>Tahar</w:t>
      </w:r>
      <w:proofErr w:type="spellEnd"/>
      <w:r w:rsidR="00313777" w:rsidRPr="00174A88">
        <w:t xml:space="preserve"> </w:t>
      </w:r>
      <w:r w:rsidR="002956B8">
        <w:t>a</w:t>
      </w:r>
      <w:r w:rsidR="00313777" w:rsidRPr="00174A88">
        <w:t xml:space="preserve">l </w:t>
      </w:r>
      <w:proofErr w:type="spellStart"/>
      <w:r w:rsidR="00313777" w:rsidRPr="00174A88">
        <w:t>Barquaoui</w:t>
      </w:r>
      <w:proofErr w:type="spellEnd"/>
      <w:r w:rsidR="00313777" w:rsidRPr="00174A88">
        <w:t xml:space="preserve"> </w:t>
      </w:r>
      <w:r w:rsidR="002956B8">
        <w:t>a</w:t>
      </w:r>
      <w:r w:rsidR="00313777" w:rsidRPr="00174A88">
        <w:t xml:space="preserve">l </w:t>
      </w:r>
      <w:proofErr w:type="spellStart"/>
      <w:r w:rsidR="00313777" w:rsidRPr="00174A88">
        <w:t>Uteibi</w:t>
      </w:r>
      <w:proofErr w:type="spellEnd"/>
      <w:r w:rsidR="00313777" w:rsidRPr="00174A88">
        <w:t xml:space="preserve"> (</w:t>
      </w:r>
      <w:r w:rsidR="00234A12">
        <w:t>o</w:t>
      </w:r>
      <w:r w:rsidR="00313777" w:rsidRPr="00174A88">
        <w:t>pinions</w:t>
      </w:r>
      <w:r w:rsidR="00C71C14">
        <w:t xml:space="preserve"> No. </w:t>
      </w:r>
      <w:r w:rsidR="00313777" w:rsidRPr="00174A88">
        <w:t xml:space="preserve">60/2011 (Jordan) and </w:t>
      </w:r>
      <w:r w:rsidR="00234A12">
        <w:t xml:space="preserve">No. </w:t>
      </w:r>
      <w:r w:rsidR="00313777" w:rsidRPr="00174A88">
        <w:t>18/2007 (Jordan)</w:t>
      </w:r>
      <w:r w:rsidR="00234A12">
        <w:t>)</w:t>
      </w:r>
      <w:r w:rsidR="00313777" w:rsidRPr="00174A88">
        <w:t xml:space="preserve"> was released on 16 June 2014, after serving his five-year sentence</w:t>
      </w:r>
      <w:r w:rsidR="00622237">
        <w:t>.</w:t>
      </w:r>
    </w:p>
    <w:p w:rsidR="00313777" w:rsidRPr="007C450D" w:rsidRDefault="0021743E" w:rsidP="0021743E">
      <w:pPr>
        <w:pStyle w:val="Bullet1G"/>
        <w:numPr>
          <w:ilvl w:val="0"/>
          <w:numId w:val="0"/>
        </w:numPr>
        <w:tabs>
          <w:tab w:val="left" w:pos="1701"/>
        </w:tabs>
        <w:ind w:left="1701" w:hanging="170"/>
      </w:pPr>
      <w:r w:rsidRPr="007C450D">
        <w:t>•</w:t>
      </w:r>
      <w:r w:rsidRPr="007C450D">
        <w:tab/>
      </w:r>
      <w:r w:rsidR="00313777" w:rsidRPr="007C450D">
        <w:t xml:space="preserve">Do </w:t>
      </w:r>
      <w:proofErr w:type="spellStart"/>
      <w:r w:rsidR="00313777" w:rsidRPr="007C450D">
        <w:t>Thi</w:t>
      </w:r>
      <w:proofErr w:type="spellEnd"/>
      <w:r w:rsidR="00313777" w:rsidRPr="007C450D">
        <w:t xml:space="preserve"> Minh </w:t>
      </w:r>
      <w:proofErr w:type="spellStart"/>
      <w:r w:rsidR="00313777" w:rsidRPr="007C450D">
        <w:t>Hanh</w:t>
      </w:r>
      <w:proofErr w:type="spellEnd"/>
      <w:r w:rsidR="00313777" w:rsidRPr="007C450D">
        <w:t xml:space="preserve"> (</w:t>
      </w:r>
      <w:r w:rsidR="00234A12">
        <w:t>o</w:t>
      </w:r>
      <w:r w:rsidR="00313777" w:rsidRPr="007C450D">
        <w:t>pinion</w:t>
      </w:r>
      <w:r w:rsidR="00C71C14">
        <w:t xml:space="preserve"> No. </w:t>
      </w:r>
      <w:r w:rsidR="00313777" w:rsidRPr="007C450D">
        <w:t>42/2012 (Viet Nam)</w:t>
      </w:r>
      <w:r w:rsidR="00234A12">
        <w:t>)</w:t>
      </w:r>
      <w:r w:rsidR="00313777" w:rsidRPr="007C450D">
        <w:t>, a labour activist, was released on 26 June 2014</w:t>
      </w:r>
      <w:r w:rsidR="00622237">
        <w:t>.</w:t>
      </w:r>
    </w:p>
    <w:p w:rsidR="00313777" w:rsidRPr="007C450D" w:rsidRDefault="0021743E" w:rsidP="0021743E">
      <w:pPr>
        <w:pStyle w:val="Bullet1G"/>
        <w:numPr>
          <w:ilvl w:val="0"/>
          <w:numId w:val="0"/>
        </w:numPr>
        <w:tabs>
          <w:tab w:val="left" w:pos="1701"/>
        </w:tabs>
        <w:ind w:left="1701" w:hanging="170"/>
      </w:pPr>
      <w:r w:rsidRPr="007C450D">
        <w:t>•</w:t>
      </w:r>
      <w:r w:rsidRPr="007C450D">
        <w:tab/>
      </w:r>
      <w:r w:rsidR="00313777" w:rsidRPr="007C450D">
        <w:t>On 19 June 2014,</w:t>
      </w:r>
      <w:r w:rsidR="00FD3DDA">
        <w:t xml:space="preserve"> m</w:t>
      </w:r>
      <w:r w:rsidR="00313777" w:rsidRPr="007C450D">
        <w:t>agistrates in Istanbul ordered the release of 230 military officers sentenced for plotting to overthrow the Government in the “Sledgehammer</w:t>
      </w:r>
      <w:r w:rsidR="002956B8">
        <w:t>”</w:t>
      </w:r>
      <w:r w:rsidR="00313777" w:rsidRPr="007C450D">
        <w:t xml:space="preserve"> trial, following a Constitutional Court ruling on 18 June 2014 that their rights to a fair trial had been violated</w:t>
      </w:r>
      <w:r w:rsidR="00FD3DDA">
        <w:t xml:space="preserve"> (</w:t>
      </w:r>
      <w:r w:rsidR="00234A12">
        <w:t>o</w:t>
      </w:r>
      <w:r w:rsidR="00313777" w:rsidRPr="007C450D">
        <w:t>pinion</w:t>
      </w:r>
      <w:r w:rsidR="00C71C14">
        <w:t xml:space="preserve"> No. </w:t>
      </w:r>
      <w:r w:rsidR="00313777" w:rsidRPr="007C450D">
        <w:t>6/2013 (Turkey</w:t>
      </w:r>
      <w:r w:rsidR="00FD3DDA">
        <w:t>)</w:t>
      </w:r>
      <w:r w:rsidR="00234A12">
        <w:t>)</w:t>
      </w:r>
      <w:r w:rsidR="00622237">
        <w:t>.</w:t>
      </w:r>
    </w:p>
    <w:p w:rsidR="00313777" w:rsidRPr="007C450D" w:rsidRDefault="0021743E" w:rsidP="0021743E">
      <w:pPr>
        <w:pStyle w:val="Bullet1G"/>
        <w:numPr>
          <w:ilvl w:val="0"/>
          <w:numId w:val="0"/>
        </w:numPr>
        <w:tabs>
          <w:tab w:val="left" w:pos="1701"/>
        </w:tabs>
        <w:ind w:left="1701" w:hanging="170"/>
      </w:pPr>
      <w:r w:rsidRPr="007C450D">
        <w:t>•</w:t>
      </w:r>
      <w:r w:rsidRPr="007C450D">
        <w:tab/>
      </w:r>
      <w:proofErr w:type="spellStart"/>
      <w:r w:rsidR="00313777" w:rsidRPr="007C450D">
        <w:t>Zakaria</w:t>
      </w:r>
      <w:proofErr w:type="spellEnd"/>
      <w:r w:rsidR="00313777" w:rsidRPr="007C450D">
        <w:t xml:space="preserve"> Mohamed Ali was released on 17 March 2014 and expelled to Somalia (</w:t>
      </w:r>
      <w:r w:rsidR="00234A12">
        <w:t>o</w:t>
      </w:r>
      <w:r w:rsidR="00313777" w:rsidRPr="007C450D">
        <w:t>pinion</w:t>
      </w:r>
      <w:r w:rsidR="00C71C14">
        <w:t xml:space="preserve"> No. </w:t>
      </w:r>
      <w:r w:rsidR="00313777" w:rsidRPr="007C450D">
        <w:t>14/2014 (Saudi Arabia)</w:t>
      </w:r>
      <w:r w:rsidR="00234A12">
        <w:t>)</w:t>
      </w:r>
      <w:r w:rsidR="00622237">
        <w:t>.</w:t>
      </w:r>
    </w:p>
    <w:p w:rsidR="005A1AD9" w:rsidRPr="007C450D" w:rsidRDefault="0021743E" w:rsidP="0021743E">
      <w:pPr>
        <w:pStyle w:val="Bullet1G"/>
        <w:numPr>
          <w:ilvl w:val="0"/>
          <w:numId w:val="0"/>
        </w:numPr>
        <w:tabs>
          <w:tab w:val="left" w:pos="1701"/>
        </w:tabs>
        <w:ind w:left="1701" w:hanging="170"/>
      </w:pPr>
      <w:r w:rsidRPr="007C450D">
        <w:t>•</w:t>
      </w:r>
      <w:r w:rsidRPr="007C450D">
        <w:tab/>
      </w:r>
      <w:r w:rsidR="004F2D38" w:rsidRPr="007C450D">
        <w:t xml:space="preserve">Michael Thierry </w:t>
      </w:r>
      <w:proofErr w:type="spellStart"/>
      <w:r w:rsidR="004F2D38" w:rsidRPr="007C450D">
        <w:t>Atangana</w:t>
      </w:r>
      <w:proofErr w:type="spellEnd"/>
      <w:r w:rsidR="004F2D38" w:rsidRPr="007C450D">
        <w:t xml:space="preserve"> (</w:t>
      </w:r>
      <w:r w:rsidR="00234A12">
        <w:t>o</w:t>
      </w:r>
      <w:r w:rsidR="004F2D38" w:rsidRPr="007C450D">
        <w:t xml:space="preserve">pinion </w:t>
      </w:r>
      <w:r w:rsidR="00234A12">
        <w:t xml:space="preserve">No. </w:t>
      </w:r>
      <w:r w:rsidR="004F2D38" w:rsidRPr="007C450D">
        <w:t>38/2013 (Cameroon)</w:t>
      </w:r>
      <w:r w:rsidR="00234A12">
        <w:t>)</w:t>
      </w:r>
      <w:r w:rsidR="004F2D38" w:rsidRPr="007C450D">
        <w:t xml:space="preserve"> was </w:t>
      </w:r>
      <w:r w:rsidR="00BA533A">
        <w:t xml:space="preserve">pardoned </w:t>
      </w:r>
      <w:r w:rsidR="00081F24">
        <w:t>under a</w:t>
      </w:r>
      <w:r w:rsidR="008A4685">
        <w:t xml:space="preserve"> </w:t>
      </w:r>
      <w:r w:rsidR="004F2D38" w:rsidRPr="007C450D">
        <w:t xml:space="preserve">presidential decree on 24 February 2014, a few days after the </w:t>
      </w:r>
      <w:r w:rsidR="00234A12">
        <w:t>o</w:t>
      </w:r>
      <w:r w:rsidR="004F2D38" w:rsidRPr="007C450D">
        <w:t>pinion of the Working Group had been made public</w:t>
      </w:r>
      <w:r w:rsidR="00FD3DDA">
        <w:t>.</w:t>
      </w:r>
      <w:r w:rsidR="00A00E2D">
        <w:t xml:space="preserve"> Mr. </w:t>
      </w:r>
      <w:proofErr w:type="spellStart"/>
      <w:r w:rsidR="00FD3DDA">
        <w:t>Atangana</w:t>
      </w:r>
      <w:proofErr w:type="spellEnd"/>
      <w:r w:rsidR="00FD3DDA">
        <w:t xml:space="preserve"> has regularly updated the Working Group on the enforcement of its three recommendations (release</w:t>
      </w:r>
      <w:r w:rsidR="00D564A3">
        <w:t>,</w:t>
      </w:r>
      <w:r w:rsidR="00FD3DDA">
        <w:t xml:space="preserve"> accountability and reparation)</w:t>
      </w:r>
      <w:r w:rsidR="00622237">
        <w:t>.</w:t>
      </w:r>
    </w:p>
    <w:p w:rsidR="005A1AD9" w:rsidRPr="007C450D" w:rsidRDefault="0021743E" w:rsidP="0021743E">
      <w:pPr>
        <w:pStyle w:val="Bullet1G"/>
        <w:numPr>
          <w:ilvl w:val="0"/>
          <w:numId w:val="0"/>
        </w:numPr>
        <w:tabs>
          <w:tab w:val="left" w:pos="1701"/>
        </w:tabs>
        <w:ind w:left="1701" w:hanging="170"/>
      </w:pPr>
      <w:r w:rsidRPr="007C450D">
        <w:t>•</w:t>
      </w:r>
      <w:r w:rsidRPr="007C450D">
        <w:tab/>
      </w:r>
      <w:proofErr w:type="spellStart"/>
      <w:r w:rsidR="005A1AD9" w:rsidRPr="007C450D">
        <w:t>Yorm</w:t>
      </w:r>
      <w:proofErr w:type="spellEnd"/>
      <w:r w:rsidR="005A1AD9" w:rsidRPr="007C450D">
        <w:t xml:space="preserve"> </w:t>
      </w:r>
      <w:proofErr w:type="spellStart"/>
      <w:r w:rsidR="005A1AD9" w:rsidRPr="007C450D">
        <w:t>Bopha</w:t>
      </w:r>
      <w:proofErr w:type="spellEnd"/>
      <w:r w:rsidR="005A1AD9" w:rsidRPr="007C450D">
        <w:t xml:space="preserve">, </w:t>
      </w:r>
      <w:r w:rsidR="00D564A3">
        <w:t xml:space="preserve">the </w:t>
      </w:r>
      <w:r w:rsidR="005A1AD9" w:rsidRPr="007C450D">
        <w:t xml:space="preserve">subject of </w:t>
      </w:r>
      <w:r w:rsidR="00234A12">
        <w:t>o</w:t>
      </w:r>
      <w:r w:rsidR="005A1AD9" w:rsidRPr="007C450D">
        <w:t xml:space="preserve">pinion </w:t>
      </w:r>
      <w:r w:rsidR="00234A12">
        <w:t xml:space="preserve">No. </w:t>
      </w:r>
      <w:r w:rsidR="005A1AD9" w:rsidRPr="007C450D">
        <w:t>24/2013 (Cambodia), was released on bail on 22 November 2013.</w:t>
      </w:r>
      <w:r w:rsidR="00CE0EF5">
        <w:t xml:space="preserve"> </w:t>
      </w:r>
      <w:r w:rsidR="005A1AD9" w:rsidRPr="007C450D">
        <w:t xml:space="preserve">She was arrested again on 21 January 2014 along with other human rights activists for protesting against the imprisonment of 23 persons who </w:t>
      </w:r>
      <w:r w:rsidR="000E32CB">
        <w:t xml:space="preserve">had </w:t>
      </w:r>
      <w:r w:rsidR="005A1AD9" w:rsidRPr="007C450D">
        <w:t>participated in a demonstration by garment factory workers. They were detained for several hours and released after they signed a statement pledging not to participate in illegal activities or protests in the future</w:t>
      </w:r>
      <w:r w:rsidR="00622237">
        <w:t>.</w:t>
      </w:r>
    </w:p>
    <w:p w:rsidR="005A1AD9" w:rsidRPr="007C450D" w:rsidRDefault="0021743E" w:rsidP="0021743E">
      <w:pPr>
        <w:pStyle w:val="Bullet1G"/>
        <w:numPr>
          <w:ilvl w:val="0"/>
          <w:numId w:val="0"/>
        </w:numPr>
        <w:tabs>
          <w:tab w:val="left" w:pos="1701"/>
        </w:tabs>
        <w:ind w:left="1701" w:hanging="170"/>
      </w:pPr>
      <w:r w:rsidRPr="007C450D">
        <w:t>•</w:t>
      </w:r>
      <w:r w:rsidRPr="007C450D">
        <w:tab/>
      </w:r>
      <w:r w:rsidR="005A1AD9" w:rsidRPr="007C450D">
        <w:t xml:space="preserve">Nguyen Tien </w:t>
      </w:r>
      <w:proofErr w:type="spellStart"/>
      <w:r w:rsidR="005A1AD9" w:rsidRPr="007C450D">
        <w:t>Trung</w:t>
      </w:r>
      <w:proofErr w:type="spellEnd"/>
      <w:r w:rsidR="000E32CB">
        <w:t>,</w:t>
      </w:r>
      <w:r w:rsidR="00CE0EF5">
        <w:t xml:space="preserve"> </w:t>
      </w:r>
      <w:r w:rsidR="000E32CB" w:rsidRPr="000E32CB">
        <w:t xml:space="preserve">one of the individuals concerned in </w:t>
      </w:r>
      <w:r w:rsidR="00234A12">
        <w:t>o</w:t>
      </w:r>
      <w:r w:rsidR="005A1AD9" w:rsidRPr="007C450D">
        <w:t xml:space="preserve">pinion </w:t>
      </w:r>
      <w:r w:rsidR="00234A12">
        <w:t xml:space="preserve">No. </w:t>
      </w:r>
      <w:r w:rsidR="005A1AD9" w:rsidRPr="007C450D">
        <w:t>27/2012 (Viet Nam)</w:t>
      </w:r>
      <w:r w:rsidR="000E32CB">
        <w:t>,</w:t>
      </w:r>
      <w:r w:rsidR="005A1AD9" w:rsidRPr="007C450D">
        <w:t xml:space="preserve"> is a blogger who was convicted in January 2010 to </w:t>
      </w:r>
      <w:r w:rsidR="000E32CB">
        <w:t xml:space="preserve">seven years of </w:t>
      </w:r>
      <w:r w:rsidR="005A1AD9" w:rsidRPr="007C450D">
        <w:t xml:space="preserve">imprisonment for alleged subversion against the </w:t>
      </w:r>
      <w:r w:rsidR="000E32CB">
        <w:t>S</w:t>
      </w:r>
      <w:r w:rsidR="005A1AD9" w:rsidRPr="007C450D">
        <w:t>tate.</w:t>
      </w:r>
      <w:r w:rsidR="00CE0EF5">
        <w:t xml:space="preserve"> </w:t>
      </w:r>
      <w:r w:rsidR="005A1AD9" w:rsidRPr="007C450D">
        <w:t>According to the information received,</w:t>
      </w:r>
      <w:r w:rsidR="00A00E2D">
        <w:t xml:space="preserve"> Mr. </w:t>
      </w:r>
      <w:proofErr w:type="spellStart"/>
      <w:r w:rsidR="005A1AD9" w:rsidRPr="007C450D">
        <w:t>Trung</w:t>
      </w:r>
      <w:proofErr w:type="spellEnd"/>
      <w:r w:rsidR="005A1AD9" w:rsidRPr="007C450D">
        <w:t xml:space="preserve"> was released on 12 April 2014 </w:t>
      </w:r>
      <w:r w:rsidR="00315BEE" w:rsidRPr="007C450D">
        <w:t>on the basis of his good behaviour</w:t>
      </w:r>
      <w:r w:rsidR="000E32CB">
        <w:t>,</w:t>
      </w:r>
      <w:r w:rsidR="00315BEE">
        <w:t xml:space="preserve"> </w:t>
      </w:r>
      <w:r w:rsidR="005A1AD9" w:rsidRPr="007C450D">
        <w:t>after having served four years in imprisonment</w:t>
      </w:r>
      <w:r w:rsidR="00622237">
        <w:t>.</w:t>
      </w:r>
    </w:p>
    <w:p w:rsidR="005A1AD9" w:rsidRPr="007C450D" w:rsidRDefault="0021743E" w:rsidP="0021743E">
      <w:pPr>
        <w:pStyle w:val="Bullet1G"/>
        <w:numPr>
          <w:ilvl w:val="0"/>
          <w:numId w:val="0"/>
        </w:numPr>
        <w:tabs>
          <w:tab w:val="left" w:pos="1701"/>
        </w:tabs>
        <w:ind w:left="1701" w:hanging="170"/>
      </w:pPr>
      <w:r w:rsidRPr="007C450D">
        <w:t>•</w:t>
      </w:r>
      <w:r w:rsidRPr="007C450D">
        <w:tab/>
      </w:r>
      <w:r w:rsidR="005A1AD9" w:rsidRPr="007C450D">
        <w:t xml:space="preserve">Cu </w:t>
      </w:r>
      <w:proofErr w:type="spellStart"/>
      <w:r w:rsidR="005A1AD9" w:rsidRPr="007C450D">
        <w:t>Huy</w:t>
      </w:r>
      <w:proofErr w:type="spellEnd"/>
      <w:r w:rsidR="005A1AD9" w:rsidRPr="007C450D">
        <w:t xml:space="preserve"> Ha Vu, </w:t>
      </w:r>
      <w:r w:rsidR="00234A12">
        <w:t xml:space="preserve">the </w:t>
      </w:r>
      <w:r w:rsidR="005A1AD9" w:rsidRPr="007C450D">
        <w:t xml:space="preserve">subject of </w:t>
      </w:r>
      <w:r w:rsidR="00234A12">
        <w:t>o</w:t>
      </w:r>
      <w:r w:rsidR="005A1AD9" w:rsidRPr="007C450D">
        <w:t xml:space="preserve">pinion </w:t>
      </w:r>
      <w:r w:rsidR="00234A12">
        <w:t xml:space="preserve">No. </w:t>
      </w:r>
      <w:r w:rsidR="005A1AD9" w:rsidRPr="007C450D">
        <w:t>24/2011 (Viet Nam), is a prominent human rights lawyer who was sentenced to imprisonment for seven years in April 2011 for allegedly spreading anti-government propaganda.</w:t>
      </w:r>
      <w:r w:rsidR="00CE0EF5">
        <w:t xml:space="preserve"> </w:t>
      </w:r>
      <w:r w:rsidR="005A1AD9" w:rsidRPr="007C450D">
        <w:t>According to the information received,</w:t>
      </w:r>
      <w:r w:rsidR="00A00E2D">
        <w:t xml:space="preserve"> Mr. </w:t>
      </w:r>
      <w:r w:rsidR="005A1AD9" w:rsidRPr="007C450D">
        <w:t>Vu was released on 5 April 2014 after having served three years in prison</w:t>
      </w:r>
      <w:r w:rsidR="000E32CB">
        <w:t>,</w:t>
      </w:r>
      <w:r w:rsidR="005A1AD9" w:rsidRPr="007C450D">
        <w:t xml:space="preserve"> and has left for </w:t>
      </w:r>
      <w:r w:rsidR="00315BEE">
        <w:t>another country</w:t>
      </w:r>
      <w:r w:rsidR="00622237">
        <w:t>.</w:t>
      </w:r>
    </w:p>
    <w:p w:rsidR="005A1AD9" w:rsidRPr="007C450D" w:rsidRDefault="0021743E" w:rsidP="0021743E">
      <w:pPr>
        <w:pStyle w:val="Bullet1G"/>
        <w:numPr>
          <w:ilvl w:val="0"/>
          <w:numId w:val="0"/>
        </w:numPr>
        <w:tabs>
          <w:tab w:val="left" w:pos="1701"/>
        </w:tabs>
        <w:ind w:left="1701" w:hanging="170"/>
      </w:pPr>
      <w:r w:rsidRPr="007C450D">
        <w:t>•</w:t>
      </w:r>
      <w:r w:rsidRPr="007C450D">
        <w:tab/>
      </w:r>
      <w:r w:rsidR="005A1AD9" w:rsidRPr="007C450D">
        <w:t xml:space="preserve">On 30 September 2014, </w:t>
      </w:r>
      <w:r w:rsidR="005A1AD9" w:rsidRPr="00832DCD">
        <w:t>the</w:t>
      </w:r>
      <w:r w:rsidR="00832DCD">
        <w:t xml:space="preserve"> relevant</w:t>
      </w:r>
      <w:r w:rsidR="005A1AD9" w:rsidRPr="007C450D">
        <w:t xml:space="preserve"> source informed</w:t>
      </w:r>
      <w:r w:rsidR="000E32CB">
        <w:t xml:space="preserve"> the Working Group</w:t>
      </w:r>
      <w:r w:rsidR="005A1AD9" w:rsidRPr="007C450D">
        <w:t xml:space="preserve"> that human rights defender</w:t>
      </w:r>
      <w:r w:rsidR="00315BEE">
        <w:t xml:space="preserve"> Pierre</w:t>
      </w:r>
      <w:r w:rsidR="00225A04">
        <w:t>-</w:t>
      </w:r>
      <w:r w:rsidR="00315BEE">
        <w:t xml:space="preserve">Claver </w:t>
      </w:r>
      <w:proofErr w:type="spellStart"/>
      <w:r w:rsidR="00315BEE">
        <w:t>Mbonimpa</w:t>
      </w:r>
      <w:proofErr w:type="spellEnd"/>
      <w:r w:rsidR="00315BEE">
        <w:t xml:space="preserve"> (</w:t>
      </w:r>
      <w:r w:rsidR="00234A12">
        <w:t>o</w:t>
      </w:r>
      <w:r w:rsidR="00315BEE">
        <w:t>pinion</w:t>
      </w:r>
      <w:r w:rsidR="005A1AD9" w:rsidRPr="007C450D">
        <w:t xml:space="preserve"> </w:t>
      </w:r>
      <w:r w:rsidR="00234A12">
        <w:t xml:space="preserve">No. </w:t>
      </w:r>
      <w:r w:rsidR="005A1AD9" w:rsidRPr="007C450D">
        <w:t>33/2014 (Burundi)</w:t>
      </w:r>
      <w:r w:rsidR="00234A12">
        <w:t>)</w:t>
      </w:r>
      <w:r w:rsidR="005A1AD9" w:rsidRPr="007C450D">
        <w:t xml:space="preserve"> was conditionally released from prison on 29 September 2014 on grounds of ill health. The court placed travel restrictions on him and he remains in hospital</w:t>
      </w:r>
      <w:r w:rsidR="00622237">
        <w:t>.</w:t>
      </w:r>
    </w:p>
    <w:p w:rsidR="00061CDC" w:rsidRPr="007C450D" w:rsidRDefault="0021743E" w:rsidP="0021743E">
      <w:pPr>
        <w:pStyle w:val="Bullet1G"/>
        <w:numPr>
          <w:ilvl w:val="0"/>
          <w:numId w:val="0"/>
        </w:numPr>
        <w:tabs>
          <w:tab w:val="left" w:pos="1701"/>
        </w:tabs>
        <w:ind w:left="1701" w:hanging="170"/>
      </w:pPr>
      <w:r w:rsidRPr="007C450D">
        <w:t>•</w:t>
      </w:r>
      <w:r w:rsidRPr="007C450D">
        <w:tab/>
      </w:r>
      <w:r w:rsidR="005A1AD9" w:rsidRPr="007C450D">
        <w:t xml:space="preserve">On 18 October 2014, </w:t>
      </w:r>
      <w:r w:rsidR="005A1AD9" w:rsidRPr="00832DCD">
        <w:t>the</w:t>
      </w:r>
      <w:r w:rsidR="00832DCD">
        <w:t xml:space="preserve"> relevant</w:t>
      </w:r>
      <w:r w:rsidR="005A1AD9" w:rsidRPr="007C450D">
        <w:t xml:space="preserve"> source informed the Working Group that La Ring and </w:t>
      </w:r>
      <w:proofErr w:type="spellStart"/>
      <w:r w:rsidR="005A1AD9" w:rsidRPr="007C450D">
        <w:t>Kyaw</w:t>
      </w:r>
      <w:proofErr w:type="spellEnd"/>
      <w:r w:rsidR="005A1AD9" w:rsidRPr="007C450D">
        <w:t xml:space="preserve"> </w:t>
      </w:r>
      <w:proofErr w:type="spellStart"/>
      <w:r w:rsidR="005A1AD9" w:rsidRPr="007C450D">
        <w:t>Hla</w:t>
      </w:r>
      <w:proofErr w:type="spellEnd"/>
      <w:r w:rsidR="005A1AD9" w:rsidRPr="007C450D">
        <w:t xml:space="preserve"> Aung, subjects of </w:t>
      </w:r>
      <w:r w:rsidR="00234A12">
        <w:t>o</w:t>
      </w:r>
      <w:r w:rsidR="005A1AD9" w:rsidRPr="007C450D">
        <w:t>pinion</w:t>
      </w:r>
      <w:r w:rsidR="00234A12">
        <w:t>s</w:t>
      </w:r>
      <w:r w:rsidR="005A1AD9" w:rsidRPr="007C450D">
        <w:t xml:space="preserve"> </w:t>
      </w:r>
      <w:r w:rsidR="00234A12">
        <w:t xml:space="preserve">No. </w:t>
      </w:r>
      <w:r w:rsidR="005A1AD9" w:rsidRPr="007C450D">
        <w:t xml:space="preserve">24/2014 </w:t>
      </w:r>
      <w:r w:rsidR="00234A12" w:rsidRPr="00234A12">
        <w:t xml:space="preserve">(Myanmar) </w:t>
      </w:r>
      <w:r w:rsidR="005A1AD9" w:rsidRPr="007C450D">
        <w:t xml:space="preserve">and </w:t>
      </w:r>
      <w:r w:rsidR="00234A12">
        <w:t xml:space="preserve">No. </w:t>
      </w:r>
      <w:r w:rsidR="005A1AD9" w:rsidRPr="007C450D">
        <w:t>31/2014 (Myanmar)</w:t>
      </w:r>
      <w:r w:rsidR="00234A12">
        <w:t>,</w:t>
      </w:r>
      <w:r w:rsidR="005A1AD9" w:rsidRPr="007C450D">
        <w:t xml:space="preserve"> respectively, had been released from prison on 7 October 2014</w:t>
      </w:r>
      <w:r w:rsidR="00622237">
        <w:t>.</w:t>
      </w:r>
    </w:p>
    <w:p w:rsidR="005A1AD9" w:rsidRPr="007C450D" w:rsidRDefault="0021743E" w:rsidP="0021743E">
      <w:pPr>
        <w:pStyle w:val="Bullet1G"/>
        <w:numPr>
          <w:ilvl w:val="0"/>
          <w:numId w:val="0"/>
        </w:numPr>
        <w:tabs>
          <w:tab w:val="left" w:pos="1701"/>
        </w:tabs>
        <w:ind w:left="1701" w:hanging="170"/>
      </w:pPr>
      <w:r w:rsidRPr="007C450D">
        <w:t>•</w:t>
      </w:r>
      <w:r w:rsidRPr="007C450D">
        <w:tab/>
      </w:r>
      <w:r w:rsidR="00061CDC" w:rsidRPr="007C450D">
        <w:t xml:space="preserve">In its </w:t>
      </w:r>
      <w:r w:rsidR="00234A12">
        <w:t>o</w:t>
      </w:r>
      <w:r w:rsidR="00061CDC" w:rsidRPr="007C450D">
        <w:t>pinion 12/2013 (Bahrain), the Working Group found</w:t>
      </w:r>
      <w:r w:rsidR="00315BEE">
        <w:t xml:space="preserve"> that</w:t>
      </w:r>
      <w:r w:rsidR="00061CDC" w:rsidRPr="007C450D">
        <w:t xml:space="preserve"> the detention of </w:t>
      </w:r>
      <w:proofErr w:type="spellStart"/>
      <w:r w:rsidR="00061CDC" w:rsidRPr="007C450D">
        <w:t>Nabeel</w:t>
      </w:r>
      <w:proofErr w:type="spellEnd"/>
      <w:r w:rsidR="00061CDC" w:rsidRPr="007C450D">
        <w:t xml:space="preserve"> </w:t>
      </w:r>
      <w:proofErr w:type="spellStart"/>
      <w:r w:rsidR="0052606A">
        <w:t>Abdulrasool</w:t>
      </w:r>
      <w:proofErr w:type="spellEnd"/>
      <w:r w:rsidR="0052606A">
        <w:t xml:space="preserve"> </w:t>
      </w:r>
      <w:r w:rsidR="00061CDC" w:rsidRPr="007C450D">
        <w:t>Rajab, a prominent Bahraini human rights defender</w:t>
      </w:r>
      <w:r w:rsidR="0052606A">
        <w:t>,</w:t>
      </w:r>
      <w:r w:rsidR="00315BEE">
        <w:t xml:space="preserve"> was</w:t>
      </w:r>
      <w:r w:rsidR="00061CDC" w:rsidRPr="007C450D">
        <w:t xml:space="preserve"> arbitrary. Upon completion of his prison sentence, he was released on </w:t>
      </w:r>
      <w:r w:rsidR="00315BEE">
        <w:t xml:space="preserve">24 </w:t>
      </w:r>
      <w:r w:rsidR="00061CDC" w:rsidRPr="007C450D">
        <w:t>May 2014</w:t>
      </w:r>
      <w:r w:rsidR="0052606A">
        <w:t>,</w:t>
      </w:r>
      <w:r w:rsidR="00061CDC" w:rsidRPr="007C450D">
        <w:t xml:space="preserve"> but the Court barred him from leaving the country. He is still facing the charge of “insulting a public institution and the army” via Twitter, pursuant to </w:t>
      </w:r>
      <w:r w:rsidR="0052606A">
        <w:t>a</w:t>
      </w:r>
      <w:r w:rsidR="00245C60">
        <w:t>rticle </w:t>
      </w:r>
      <w:r w:rsidR="00061CDC" w:rsidRPr="007C450D">
        <w:t>216 of the Bahraini Penal Code, an offence punishable by up to six years of imprisonment</w:t>
      </w:r>
      <w:r w:rsidR="00622237">
        <w:t>.</w:t>
      </w:r>
    </w:p>
    <w:p w:rsidR="004F2D38" w:rsidRPr="007C450D" w:rsidRDefault="0021743E" w:rsidP="0021743E">
      <w:pPr>
        <w:pStyle w:val="Bullet1G"/>
        <w:numPr>
          <w:ilvl w:val="0"/>
          <w:numId w:val="0"/>
        </w:numPr>
        <w:tabs>
          <w:tab w:val="left" w:pos="1701"/>
        </w:tabs>
        <w:ind w:left="1701" w:hanging="170"/>
      </w:pPr>
      <w:r w:rsidRPr="007C450D">
        <w:t>•</w:t>
      </w:r>
      <w:r w:rsidRPr="007C450D">
        <w:tab/>
      </w:r>
      <w:r w:rsidR="006844F1" w:rsidRPr="007C450D">
        <w:t xml:space="preserve">By note </w:t>
      </w:r>
      <w:proofErr w:type="spellStart"/>
      <w:r w:rsidR="006844F1" w:rsidRPr="007C450D">
        <w:t>verbale</w:t>
      </w:r>
      <w:proofErr w:type="spellEnd"/>
      <w:r w:rsidR="006844F1" w:rsidRPr="007C450D">
        <w:t xml:space="preserve"> dated 27 November 2014, the Government of Argentina informed the Working Group that the </w:t>
      </w:r>
      <w:r w:rsidR="00315BEE">
        <w:t>High Court</w:t>
      </w:r>
      <w:r w:rsidR="006844F1" w:rsidRPr="007C450D">
        <w:t xml:space="preserve"> of Córdoba had </w:t>
      </w:r>
      <w:r w:rsidR="00315BEE">
        <w:t>ordered</w:t>
      </w:r>
      <w:r w:rsidR="006844F1" w:rsidRPr="007C450D">
        <w:t xml:space="preserve"> the end of </w:t>
      </w:r>
      <w:r w:rsidR="0052606A">
        <w:t xml:space="preserve">the </w:t>
      </w:r>
      <w:r w:rsidR="006844F1" w:rsidRPr="007C450D">
        <w:t>preventive detention of</w:t>
      </w:r>
      <w:r w:rsidR="00A00E2D">
        <w:t xml:space="preserve"> </w:t>
      </w:r>
      <w:r w:rsidR="0052606A">
        <w:t xml:space="preserve">Guillermo </w:t>
      </w:r>
      <w:r w:rsidR="006844F1" w:rsidRPr="007C450D">
        <w:t xml:space="preserve">Luis Lucas, which was subject of </w:t>
      </w:r>
      <w:r w:rsidR="005E5D68">
        <w:t>o</w:t>
      </w:r>
      <w:r w:rsidR="006844F1" w:rsidRPr="007C450D">
        <w:t xml:space="preserve">pinion </w:t>
      </w:r>
      <w:r w:rsidR="005E5D68">
        <w:t>No.</w:t>
      </w:r>
      <w:r w:rsidR="0052606A">
        <w:t> </w:t>
      </w:r>
      <w:r w:rsidR="006844F1" w:rsidRPr="007C450D">
        <w:t>20/2013 (Argentina),</w:t>
      </w:r>
      <w:r w:rsidR="00CE0EF5">
        <w:t xml:space="preserve"> </w:t>
      </w:r>
      <w:r w:rsidR="0052606A">
        <w:t>and</w:t>
      </w:r>
      <w:r w:rsidR="006844F1" w:rsidRPr="007C450D">
        <w:t xml:space="preserve"> </w:t>
      </w:r>
      <w:r w:rsidR="00E5149C">
        <w:t xml:space="preserve">had </w:t>
      </w:r>
      <w:r w:rsidR="0052606A">
        <w:t>held</w:t>
      </w:r>
      <w:r w:rsidR="006844F1" w:rsidRPr="007C450D">
        <w:t xml:space="preserve"> all the charges brought against him</w:t>
      </w:r>
      <w:r w:rsidR="0052606A">
        <w:t xml:space="preserve"> to be without</w:t>
      </w:r>
      <w:r w:rsidR="0052606A" w:rsidRPr="0052606A">
        <w:t xml:space="preserve"> effect</w:t>
      </w:r>
      <w:r w:rsidR="00622237">
        <w:t>.</w:t>
      </w:r>
    </w:p>
    <w:p w:rsidR="006844F1" w:rsidRPr="007C450D" w:rsidRDefault="0021743E" w:rsidP="0021743E">
      <w:pPr>
        <w:pStyle w:val="Bullet1G"/>
        <w:numPr>
          <w:ilvl w:val="0"/>
          <w:numId w:val="0"/>
        </w:numPr>
        <w:tabs>
          <w:tab w:val="left" w:pos="1701"/>
        </w:tabs>
        <w:ind w:left="1701" w:hanging="170"/>
      </w:pPr>
      <w:r w:rsidRPr="007C450D">
        <w:t>•</w:t>
      </w:r>
      <w:r w:rsidRPr="007C450D">
        <w:tab/>
      </w:r>
      <w:r w:rsidR="006844F1" w:rsidRPr="007C450D">
        <w:t xml:space="preserve">By note </w:t>
      </w:r>
      <w:proofErr w:type="spellStart"/>
      <w:r w:rsidR="006844F1" w:rsidRPr="007C450D">
        <w:t>verbale</w:t>
      </w:r>
      <w:proofErr w:type="spellEnd"/>
      <w:r w:rsidR="006844F1" w:rsidRPr="007C450D">
        <w:t xml:space="preserve"> of 6 January 2015, the Government of Cuba reported that </w:t>
      </w:r>
      <w:r w:rsidR="00E85639" w:rsidRPr="007C450D">
        <w:t xml:space="preserve">Gerardo Hernández </w:t>
      </w:r>
      <w:proofErr w:type="spellStart"/>
      <w:r w:rsidR="00E85639" w:rsidRPr="007C450D">
        <w:t>Nordelo</w:t>
      </w:r>
      <w:proofErr w:type="spellEnd"/>
      <w:r w:rsidR="00E85639" w:rsidRPr="007C450D">
        <w:t>,</w:t>
      </w:r>
      <w:r w:rsidR="00CE0EF5">
        <w:t xml:space="preserve"> </w:t>
      </w:r>
      <w:r w:rsidR="00E85639" w:rsidRPr="007C450D">
        <w:t xml:space="preserve">Ramón </w:t>
      </w:r>
      <w:proofErr w:type="spellStart"/>
      <w:r w:rsidR="00E85639" w:rsidRPr="007C450D">
        <w:t>Labaniño</w:t>
      </w:r>
      <w:proofErr w:type="spellEnd"/>
      <w:r w:rsidR="00E85639" w:rsidRPr="007C450D">
        <w:t xml:space="preserve"> Salazar and Antonio Herreros Rodríguez, held in United States federal prisons for 16 years, had been released from detention and </w:t>
      </w:r>
      <w:r w:rsidR="00290ED0">
        <w:t xml:space="preserve">had </w:t>
      </w:r>
      <w:r w:rsidR="00E85639" w:rsidRPr="007C450D">
        <w:t xml:space="preserve">arrived </w:t>
      </w:r>
      <w:r w:rsidR="00290ED0">
        <w:t>in</w:t>
      </w:r>
      <w:r w:rsidR="00E85639" w:rsidRPr="007C450D">
        <w:t xml:space="preserve"> Havana on 17 September 2014. The Government of Cuba expressed gratitude to the Working Group for its efforts in finding a solution to this case. The Working Group had declared arbitrary the detention of these three persons, as well as the detention of Fernando González </w:t>
      </w:r>
      <w:proofErr w:type="spellStart"/>
      <w:r w:rsidR="00E85639" w:rsidRPr="007C450D">
        <w:t>Llort</w:t>
      </w:r>
      <w:proofErr w:type="spellEnd"/>
      <w:r w:rsidR="00E85639" w:rsidRPr="007C450D">
        <w:t xml:space="preserve"> and René González </w:t>
      </w:r>
      <w:proofErr w:type="spellStart"/>
      <w:r w:rsidR="00E85639" w:rsidRPr="007C450D">
        <w:t>Schweret</w:t>
      </w:r>
      <w:proofErr w:type="spellEnd"/>
      <w:r w:rsidR="00E85639" w:rsidRPr="007C450D">
        <w:t xml:space="preserve">, in its </w:t>
      </w:r>
      <w:r w:rsidR="005E5D68">
        <w:t>o</w:t>
      </w:r>
      <w:r w:rsidR="00E85639" w:rsidRPr="007C450D">
        <w:t>pinion</w:t>
      </w:r>
      <w:r w:rsidR="00C71C14">
        <w:t xml:space="preserve"> No. </w:t>
      </w:r>
      <w:r w:rsidR="00E85639" w:rsidRPr="007C450D">
        <w:t>19/2005 (United States of America)</w:t>
      </w:r>
      <w:r w:rsidR="00622237">
        <w:t>.</w:t>
      </w:r>
    </w:p>
    <w:p w:rsidR="00AD19C5" w:rsidRDefault="0021743E" w:rsidP="0021743E">
      <w:pPr>
        <w:pStyle w:val="Bullet1G"/>
        <w:numPr>
          <w:ilvl w:val="0"/>
          <w:numId w:val="0"/>
        </w:numPr>
        <w:tabs>
          <w:tab w:val="left" w:pos="1701"/>
        </w:tabs>
        <w:ind w:left="1701" w:hanging="170"/>
      </w:pPr>
      <w:r>
        <w:t>•</w:t>
      </w:r>
      <w:r>
        <w:tab/>
      </w:r>
      <w:r w:rsidR="00AD19C5" w:rsidRPr="007C450D">
        <w:t xml:space="preserve">On 6 January 2015, </w:t>
      </w:r>
      <w:r w:rsidR="00AD19C5" w:rsidRPr="00832DCD">
        <w:t>the</w:t>
      </w:r>
      <w:r w:rsidR="00AD19C5" w:rsidRPr="007C450D">
        <w:t xml:space="preserve"> </w:t>
      </w:r>
      <w:r w:rsidR="00832DCD">
        <w:t xml:space="preserve">relevant </w:t>
      </w:r>
      <w:r w:rsidR="00AD19C5" w:rsidRPr="007C450D">
        <w:t>source informed</w:t>
      </w:r>
      <w:r w:rsidR="00290ED0">
        <w:t xml:space="preserve"> the Working Group</w:t>
      </w:r>
      <w:r w:rsidR="00AD19C5" w:rsidRPr="007C450D">
        <w:t xml:space="preserve"> that</w:t>
      </w:r>
      <w:r w:rsidR="00A00E2D">
        <w:t xml:space="preserve"> </w:t>
      </w:r>
      <w:r w:rsidR="00AD19C5" w:rsidRPr="007C450D">
        <w:t>Khaled El-</w:t>
      </w:r>
      <w:proofErr w:type="spellStart"/>
      <w:r w:rsidR="00AD19C5" w:rsidRPr="007C450D">
        <w:t>Kazaz</w:t>
      </w:r>
      <w:proofErr w:type="spellEnd"/>
      <w:r w:rsidR="00AD19C5" w:rsidRPr="007C450D">
        <w:t xml:space="preserve">, one of the subjects of </w:t>
      </w:r>
      <w:r w:rsidR="005E5D68">
        <w:t>o</w:t>
      </w:r>
      <w:r w:rsidR="00AD19C5" w:rsidRPr="007C450D">
        <w:t xml:space="preserve">pinion </w:t>
      </w:r>
      <w:r w:rsidR="005E5D68">
        <w:t xml:space="preserve">No. </w:t>
      </w:r>
      <w:r w:rsidR="00AD19C5" w:rsidRPr="007C450D">
        <w:t xml:space="preserve">39/2013 (Egypt), </w:t>
      </w:r>
      <w:r w:rsidR="00290ED0">
        <w:t>had been</w:t>
      </w:r>
      <w:r w:rsidR="00AD19C5" w:rsidRPr="007C450D">
        <w:t xml:space="preserve"> released. The charges brought against him </w:t>
      </w:r>
      <w:r w:rsidR="00290ED0">
        <w:t>had been</w:t>
      </w:r>
      <w:r w:rsidR="00AD19C5" w:rsidRPr="007C450D">
        <w:t xml:space="preserve"> dropped and his case </w:t>
      </w:r>
      <w:r w:rsidR="00290ED0">
        <w:t>had been</w:t>
      </w:r>
      <w:r w:rsidR="00AD19C5" w:rsidRPr="007C450D">
        <w:t xml:space="preserve"> closed</w:t>
      </w:r>
      <w:r w:rsidR="00622237">
        <w:t>.</w:t>
      </w:r>
    </w:p>
    <w:p w:rsidR="00215F2E" w:rsidRPr="007D6865" w:rsidRDefault="0021743E" w:rsidP="0021743E">
      <w:pPr>
        <w:pStyle w:val="SingleTxtG"/>
      </w:pPr>
      <w:r w:rsidRPr="007D6865">
        <w:rPr>
          <w:lang w:val="en-US"/>
        </w:rPr>
        <w:t>32.</w:t>
      </w:r>
      <w:r w:rsidRPr="007D6865">
        <w:rPr>
          <w:lang w:val="en-US"/>
        </w:rPr>
        <w:tab/>
      </w:r>
      <w:r w:rsidR="00215F2E" w:rsidRPr="007D6865">
        <w:t>The Working Group expresses its gratitude to those Governments that undertook positive actions and released detainees that</w:t>
      </w:r>
      <w:r w:rsidR="00CF337F" w:rsidRPr="007D6865">
        <w:t xml:space="preserve"> were subjects of its opinions.</w:t>
      </w:r>
      <w:r w:rsidR="00BA533A">
        <w:t xml:space="preserve"> However, it also expresses regret that Member States have not fully cooperated in enforcing the opinions.</w:t>
      </w:r>
    </w:p>
    <w:p w:rsidR="00215F2E" w:rsidRPr="00A540DF" w:rsidRDefault="00215F2E" w:rsidP="00A540DF">
      <w:pPr>
        <w:pStyle w:val="H23G"/>
      </w:pPr>
      <w:r w:rsidRPr="00A540DF">
        <w:tab/>
      </w:r>
      <w:r w:rsidR="00177C81" w:rsidRPr="00A540DF">
        <w:t>5</w:t>
      </w:r>
      <w:r w:rsidRPr="00A540DF">
        <w:t>.</w:t>
      </w:r>
      <w:r w:rsidRPr="00A540DF">
        <w:tab/>
        <w:t>Requests for review of opinions</w:t>
      </w:r>
      <w:r w:rsidR="00E85639" w:rsidRPr="00A540DF">
        <w:t xml:space="preserve"> </w:t>
      </w:r>
      <w:r w:rsidRPr="00A540DF">
        <w:t>adopted</w:t>
      </w:r>
    </w:p>
    <w:p w:rsidR="00E54E6F" w:rsidRPr="007D6865" w:rsidRDefault="0021743E" w:rsidP="0021743E">
      <w:pPr>
        <w:pStyle w:val="SingleTxtG"/>
      </w:pPr>
      <w:r w:rsidRPr="007D6865">
        <w:rPr>
          <w:lang w:val="en-US"/>
        </w:rPr>
        <w:t>33.</w:t>
      </w:r>
      <w:r w:rsidRPr="007D6865">
        <w:rPr>
          <w:lang w:val="en-US"/>
        </w:rPr>
        <w:tab/>
      </w:r>
      <w:r w:rsidR="00215F2E" w:rsidRPr="007D6865">
        <w:t>The Working Group considered</w:t>
      </w:r>
      <w:r w:rsidR="008C6D9E" w:rsidRPr="007D6865">
        <w:t xml:space="preserve"> the </w:t>
      </w:r>
      <w:r w:rsidR="005C7863">
        <w:t>requests made by the</w:t>
      </w:r>
      <w:r w:rsidR="008C6D9E" w:rsidRPr="007D6865">
        <w:t xml:space="preserve"> Governments</w:t>
      </w:r>
      <w:r w:rsidR="005C7863">
        <w:t xml:space="preserve"> concerned</w:t>
      </w:r>
      <w:r w:rsidR="008C6D9E" w:rsidRPr="007D6865">
        <w:t xml:space="preserve"> for review of the following </w:t>
      </w:r>
      <w:r w:rsidR="005C7863">
        <w:t>o</w:t>
      </w:r>
      <w:r w:rsidR="008C6D9E" w:rsidRPr="007D6865">
        <w:t xml:space="preserve">pinions: </w:t>
      </w:r>
      <w:r w:rsidR="00C71C14">
        <w:t>No. </w:t>
      </w:r>
      <w:r w:rsidR="00AA5294" w:rsidRPr="007D6865">
        <w:t>39/2013 (Egypt)</w:t>
      </w:r>
      <w:r w:rsidR="00D20A18" w:rsidRPr="007D6865">
        <w:t xml:space="preserve"> concerning Mohamed </w:t>
      </w:r>
      <w:proofErr w:type="spellStart"/>
      <w:r w:rsidR="00D20A18" w:rsidRPr="007D6865">
        <w:t>Mohamed</w:t>
      </w:r>
      <w:proofErr w:type="spellEnd"/>
      <w:r w:rsidR="00D20A18" w:rsidRPr="007D6865">
        <w:t xml:space="preserve"> </w:t>
      </w:r>
      <w:proofErr w:type="spellStart"/>
      <w:r w:rsidR="00D20A18" w:rsidRPr="007D6865">
        <w:t>Morsi</w:t>
      </w:r>
      <w:proofErr w:type="spellEnd"/>
      <w:r w:rsidR="00D20A18" w:rsidRPr="007D6865">
        <w:t xml:space="preserve"> </w:t>
      </w:r>
      <w:proofErr w:type="spellStart"/>
      <w:r w:rsidR="00D20A18" w:rsidRPr="007D6865">
        <w:t>Eissa</w:t>
      </w:r>
      <w:proofErr w:type="spellEnd"/>
      <w:r w:rsidR="00D20A18" w:rsidRPr="007D6865">
        <w:t xml:space="preserve"> El-</w:t>
      </w:r>
      <w:proofErr w:type="spellStart"/>
      <w:r w:rsidR="00D20A18" w:rsidRPr="007D6865">
        <w:t>Ayyat</w:t>
      </w:r>
      <w:proofErr w:type="spellEnd"/>
      <w:r w:rsidR="005C7863">
        <w:t xml:space="preserve"> </w:t>
      </w:r>
      <w:r w:rsidR="005C7863" w:rsidRPr="00832DCD">
        <w:t>and others</w:t>
      </w:r>
      <w:proofErr w:type="gramStart"/>
      <w:r w:rsidR="00122D41" w:rsidRPr="007D6865">
        <w:t>;</w:t>
      </w:r>
      <w:r w:rsidR="00AA5294" w:rsidRPr="007D6865">
        <w:t xml:space="preserve"> </w:t>
      </w:r>
      <w:r w:rsidR="00C71C14">
        <w:t xml:space="preserve"> No</w:t>
      </w:r>
      <w:proofErr w:type="gramEnd"/>
      <w:r w:rsidR="00C71C14">
        <w:t>. </w:t>
      </w:r>
      <w:r w:rsidR="00A447F7" w:rsidRPr="00E85639">
        <w:t xml:space="preserve">15/2014 (Canada), concerning Michael </w:t>
      </w:r>
      <w:proofErr w:type="spellStart"/>
      <w:r w:rsidR="00A447F7" w:rsidRPr="00E85639">
        <w:t>Mvogo</w:t>
      </w:r>
      <w:proofErr w:type="spellEnd"/>
      <w:r w:rsidR="005C7863">
        <w:t>,</w:t>
      </w:r>
      <w:r w:rsidR="00E85639" w:rsidRPr="00E85639">
        <w:t xml:space="preserve"> and </w:t>
      </w:r>
      <w:r w:rsidR="00C71C14">
        <w:t>No. </w:t>
      </w:r>
      <w:r w:rsidR="00A447F7" w:rsidRPr="00E85639">
        <w:t xml:space="preserve">10/2014 (Egypt), concerning </w:t>
      </w:r>
      <w:r w:rsidR="00A447F7" w:rsidRPr="007D6865">
        <w:t xml:space="preserve">Mohamed Essayed Ali </w:t>
      </w:r>
      <w:proofErr w:type="spellStart"/>
      <w:r w:rsidR="00A447F7" w:rsidRPr="007D6865">
        <w:t>Rasslan</w:t>
      </w:r>
      <w:proofErr w:type="spellEnd"/>
      <w:r w:rsidR="00A447F7" w:rsidRPr="007D6865">
        <w:t xml:space="preserve"> </w:t>
      </w:r>
      <w:r w:rsidR="005C7863">
        <w:t>and others</w:t>
      </w:r>
      <w:r w:rsidR="00A447F7" w:rsidRPr="007D6865">
        <w:t xml:space="preserve">. </w:t>
      </w:r>
    </w:p>
    <w:p w:rsidR="00215F2E" w:rsidRPr="007D6865" w:rsidRDefault="0021743E" w:rsidP="0021743E">
      <w:pPr>
        <w:pStyle w:val="SingleTxtG"/>
      </w:pPr>
      <w:r w:rsidRPr="007D6865">
        <w:rPr>
          <w:lang w:val="en-US"/>
        </w:rPr>
        <w:t>34.</w:t>
      </w:r>
      <w:r w:rsidRPr="007D6865">
        <w:rPr>
          <w:lang w:val="en-US"/>
        </w:rPr>
        <w:tab/>
      </w:r>
      <w:r w:rsidR="00215F2E" w:rsidRPr="007D6865">
        <w:t>After carefully and closely examining the request</w:t>
      </w:r>
      <w:r w:rsidR="00415F66" w:rsidRPr="007D6865">
        <w:t>s</w:t>
      </w:r>
      <w:r w:rsidR="00215F2E" w:rsidRPr="007D6865">
        <w:t xml:space="preserve"> for review, the Working Group decided to maintain its </w:t>
      </w:r>
      <w:r w:rsidR="005E5D68">
        <w:t>o</w:t>
      </w:r>
      <w:r w:rsidR="00215F2E" w:rsidRPr="007D6865">
        <w:t>pinion</w:t>
      </w:r>
      <w:r w:rsidR="006F417F" w:rsidRPr="007D6865">
        <w:t>s</w:t>
      </w:r>
      <w:r w:rsidR="00215F2E" w:rsidRPr="007D6865">
        <w:t xml:space="preserve">, in accordance with </w:t>
      </w:r>
      <w:r w:rsidR="00245C60">
        <w:t>paragraph </w:t>
      </w:r>
      <w:r w:rsidR="00215F2E" w:rsidRPr="007D6865">
        <w:t xml:space="preserve">21 of its </w:t>
      </w:r>
      <w:r w:rsidR="005C7863">
        <w:t>m</w:t>
      </w:r>
      <w:r w:rsidR="00215F2E" w:rsidRPr="007D6865">
        <w:t xml:space="preserve">ethods of </w:t>
      </w:r>
      <w:r w:rsidR="00C655EA" w:rsidRPr="007D6865">
        <w:t>w</w:t>
      </w:r>
      <w:r w:rsidR="00215F2E" w:rsidRPr="007D6865">
        <w:t>ork</w:t>
      </w:r>
      <w:r w:rsidR="00B76521" w:rsidRPr="007D6865">
        <w:t>.</w:t>
      </w:r>
    </w:p>
    <w:p w:rsidR="00215F2E" w:rsidRPr="00A540DF" w:rsidRDefault="00215F2E" w:rsidP="00A540DF">
      <w:pPr>
        <w:pStyle w:val="H23G"/>
      </w:pPr>
      <w:r w:rsidRPr="00A540DF">
        <w:tab/>
      </w:r>
      <w:r w:rsidR="00177C81" w:rsidRPr="00A540DF">
        <w:t>6</w:t>
      </w:r>
      <w:r w:rsidRPr="00A540DF">
        <w:t>.</w:t>
      </w:r>
      <w:r w:rsidRPr="00A540DF">
        <w:tab/>
        <w:t>Reprisal against a subject of an opinion of the Working Group</w:t>
      </w:r>
    </w:p>
    <w:p w:rsidR="00215F2E" w:rsidRPr="007D6865" w:rsidRDefault="0021743E" w:rsidP="0021743E">
      <w:pPr>
        <w:pStyle w:val="SingleTxtG"/>
      </w:pPr>
      <w:r w:rsidRPr="007D6865">
        <w:rPr>
          <w:lang w:val="en-US"/>
        </w:rPr>
        <w:t>35.</w:t>
      </w:r>
      <w:r w:rsidRPr="007D6865">
        <w:rPr>
          <w:lang w:val="en-US"/>
        </w:rPr>
        <w:tab/>
      </w:r>
      <w:r w:rsidR="00215F2E" w:rsidRPr="007D6865">
        <w:t>The Working Group expresses its concern regarding the continued detention</w:t>
      </w:r>
      <w:r w:rsidR="00B76521" w:rsidRPr="007D6865">
        <w:t xml:space="preserve"> under house arrest </w:t>
      </w:r>
      <w:r w:rsidR="00215F2E" w:rsidRPr="007D6865">
        <w:t>of</w:t>
      </w:r>
      <w:r w:rsidR="00315BEE">
        <w:t xml:space="preserve"> </w:t>
      </w:r>
      <w:proofErr w:type="spellStart"/>
      <w:r w:rsidR="00215F2E" w:rsidRPr="007D6865">
        <w:t>Mar</w:t>
      </w:r>
      <w:r w:rsidR="00A5203D">
        <w:t>í</w:t>
      </w:r>
      <w:r w:rsidR="00215F2E" w:rsidRPr="007D6865">
        <w:t>a</w:t>
      </w:r>
      <w:proofErr w:type="spellEnd"/>
      <w:r w:rsidR="00215F2E" w:rsidRPr="007D6865">
        <w:t xml:space="preserve"> Lourdes </w:t>
      </w:r>
      <w:proofErr w:type="spellStart"/>
      <w:r w:rsidR="00215F2E" w:rsidRPr="007D6865">
        <w:t>Afiuni</w:t>
      </w:r>
      <w:proofErr w:type="spellEnd"/>
      <w:r w:rsidR="00215F2E" w:rsidRPr="007D6865">
        <w:t xml:space="preserve"> Mora, </w:t>
      </w:r>
      <w:r w:rsidR="00A5203D">
        <w:t xml:space="preserve">the </w:t>
      </w:r>
      <w:r w:rsidR="00215F2E" w:rsidRPr="007D6865">
        <w:t xml:space="preserve">subject of its </w:t>
      </w:r>
      <w:r w:rsidR="005E5D68">
        <w:t>o</w:t>
      </w:r>
      <w:r w:rsidR="00215F2E" w:rsidRPr="007D6865">
        <w:t>pinion</w:t>
      </w:r>
      <w:r w:rsidR="00C71C14">
        <w:t xml:space="preserve"> No. </w:t>
      </w:r>
      <w:r w:rsidR="00215F2E" w:rsidRPr="007D6865">
        <w:t xml:space="preserve">20/2010 (Bolivarian Republic of Venezuela), who was arrested in 2009 for ordering the conditional release of </w:t>
      </w:r>
      <w:proofErr w:type="spellStart"/>
      <w:r w:rsidR="00215F2E" w:rsidRPr="007D6865">
        <w:t>Eligio</w:t>
      </w:r>
      <w:proofErr w:type="spellEnd"/>
      <w:r w:rsidR="00215F2E" w:rsidRPr="007D6865">
        <w:t xml:space="preserve"> </w:t>
      </w:r>
      <w:proofErr w:type="spellStart"/>
      <w:r w:rsidR="00215F2E" w:rsidRPr="007D6865">
        <w:t>Cede</w:t>
      </w:r>
      <w:r w:rsidR="009C1F79" w:rsidRPr="007D6865">
        <w:t>ño</w:t>
      </w:r>
      <w:proofErr w:type="spellEnd"/>
      <w:r w:rsidR="00215F2E" w:rsidRPr="007D6865">
        <w:t xml:space="preserve">, the subject of the Working Group’s </w:t>
      </w:r>
      <w:r w:rsidR="005E5D68">
        <w:t>o</w:t>
      </w:r>
      <w:r w:rsidR="00215F2E" w:rsidRPr="007D6865">
        <w:t>pinion</w:t>
      </w:r>
      <w:r w:rsidR="00C71C14">
        <w:t xml:space="preserve"> No. </w:t>
      </w:r>
      <w:r w:rsidR="00215F2E" w:rsidRPr="007D6865">
        <w:t xml:space="preserve">10/2009 (Bolivarian Republic of Venezuela). The Working Group considers the </w:t>
      </w:r>
      <w:r w:rsidR="00315BEE">
        <w:t xml:space="preserve">detention of </w:t>
      </w:r>
      <w:r w:rsidR="00A5203D">
        <w:t>Ms. </w:t>
      </w:r>
      <w:proofErr w:type="spellStart"/>
      <w:r w:rsidR="00215F2E" w:rsidRPr="007D6865">
        <w:t>Afiuni</w:t>
      </w:r>
      <w:proofErr w:type="spellEnd"/>
      <w:r w:rsidR="00215F2E" w:rsidRPr="007D6865">
        <w:t xml:space="preserve"> as </w:t>
      </w:r>
      <w:r w:rsidR="00172811" w:rsidRPr="007D6865">
        <w:t xml:space="preserve">a measure of </w:t>
      </w:r>
      <w:r w:rsidR="00215F2E" w:rsidRPr="007D6865">
        <w:t>reprisal. It</w:t>
      </w:r>
      <w:r w:rsidR="00CE0EF5">
        <w:t xml:space="preserve"> </w:t>
      </w:r>
      <w:r w:rsidR="00407A8D" w:rsidRPr="007D6865">
        <w:t xml:space="preserve">reiterates its </w:t>
      </w:r>
      <w:r w:rsidR="00215F2E" w:rsidRPr="007D6865">
        <w:t>calls</w:t>
      </w:r>
      <w:r w:rsidR="005E5D68">
        <w:t xml:space="preserve"> </w:t>
      </w:r>
      <w:r w:rsidR="00A5203D">
        <w:t>up</w:t>
      </w:r>
      <w:r w:rsidR="00215F2E" w:rsidRPr="007D6865">
        <w:t>on the Government of the Bolivarian Republic of Venezuela to immediately release Ms.</w:t>
      </w:r>
      <w:r w:rsidR="00591DFA">
        <w:t> </w:t>
      </w:r>
      <w:proofErr w:type="spellStart"/>
      <w:r w:rsidR="00215F2E" w:rsidRPr="007D6865">
        <w:t>Afiuni</w:t>
      </w:r>
      <w:proofErr w:type="spellEnd"/>
      <w:r w:rsidR="00215F2E" w:rsidRPr="007D6865">
        <w:t xml:space="preserve"> and to provide </w:t>
      </w:r>
      <w:r w:rsidR="00CF337F" w:rsidRPr="007D6865">
        <w:t xml:space="preserve">her with effective </w:t>
      </w:r>
      <w:r w:rsidR="00423051">
        <w:t xml:space="preserve">and adequate </w:t>
      </w:r>
      <w:r w:rsidR="00CF337F" w:rsidRPr="007D6865">
        <w:t>reparations.</w:t>
      </w:r>
    </w:p>
    <w:p w:rsidR="00215F2E" w:rsidRPr="00A540DF" w:rsidRDefault="00215F2E" w:rsidP="00A540DF">
      <w:pPr>
        <w:pStyle w:val="H23G"/>
      </w:pPr>
      <w:r w:rsidRPr="00A540DF">
        <w:tab/>
      </w:r>
      <w:r w:rsidR="00177C81" w:rsidRPr="00A540DF">
        <w:t>7</w:t>
      </w:r>
      <w:r w:rsidR="00021AF6">
        <w:t>.</w:t>
      </w:r>
      <w:r w:rsidR="00021AF6">
        <w:tab/>
      </w:r>
      <w:r w:rsidR="00177C81" w:rsidRPr="00A540DF">
        <w:t>U</w:t>
      </w:r>
      <w:r w:rsidR="00CC4FCB" w:rsidRPr="00A540DF">
        <w:t xml:space="preserve">rgent appeals </w:t>
      </w:r>
    </w:p>
    <w:p w:rsidR="00CC4FCB" w:rsidRPr="007D6865" w:rsidRDefault="0021743E" w:rsidP="0021743E">
      <w:pPr>
        <w:pStyle w:val="SingleTxtG"/>
      </w:pPr>
      <w:r w:rsidRPr="007D6865">
        <w:rPr>
          <w:lang w:val="en-US"/>
        </w:rPr>
        <w:t>36.</w:t>
      </w:r>
      <w:r w:rsidRPr="007D6865">
        <w:rPr>
          <w:lang w:val="en-US"/>
        </w:rPr>
        <w:tab/>
      </w:r>
      <w:r w:rsidR="00CC4FCB" w:rsidRPr="007D6865">
        <w:t>During the period from 1 January 2014 to 31 December 2014, the Working Group sent 13</w:t>
      </w:r>
      <w:r w:rsidR="007A0E66">
        <w:t>6</w:t>
      </w:r>
      <w:r w:rsidR="00CC4FCB" w:rsidRPr="007D6865">
        <w:t xml:space="preserve"> urgent appeals to 48 </w:t>
      </w:r>
      <w:r w:rsidR="007A0E66">
        <w:t>Governments</w:t>
      </w:r>
      <w:r w:rsidR="00CC4FCB" w:rsidRPr="007D6865">
        <w:t xml:space="preserve"> concerning 435 individuals. Urgent appeals were sent to the following countries:</w:t>
      </w:r>
    </w:p>
    <w:p w:rsidR="00CC4FCB" w:rsidRDefault="00CC4FCB" w:rsidP="004141C1">
      <w:pPr>
        <w:pStyle w:val="SingleTxtG"/>
        <w:ind w:left="1701"/>
      </w:pPr>
      <w:r w:rsidRPr="007D6865">
        <w:t>Bahrain (11); Burundi (1); Cambodia (2); China (11); Congo (1); Cuba (1); Cyprus (1); Egypt (9); Eritrea (2); Ethiopia (6); Fiji (1); France (1); Gambia (1); Iran (Islamic Republic of) (16); Iraq (1); Israel (2); Jordan (1); Kazakhstan (1); Kuwait (1); Kyrgyz</w:t>
      </w:r>
      <w:r w:rsidR="00614F82">
        <w:t>stan</w:t>
      </w:r>
      <w:r w:rsidRPr="007D6865">
        <w:t xml:space="preserve"> (1); Mexico (1); Morocco (4); Myanmar (3); Nepal (1); Niger (1); Nigeria (1); Oman (2</w:t>
      </w:r>
      <w:r w:rsidRPr="007043D4">
        <w:t>); Pakistan</w:t>
      </w:r>
      <w:r w:rsidRPr="007D6865">
        <w:t xml:space="preserve"> (2); Panama (1); Qatar (1); Republic of Moldova (1); Rwanda (1); Saudi Arabia (10); Sri Lanka (1); Sudan (3); Swaziland (1); Syrian Arab Republic (3); Tajikistan (2); Thailand (3); Tunisia (1); Turkey (1); United Arab Emirates (4); United Kingdom of Great Britain and Northern Ireland (2); United States of America (1); Uzbekistan (1); Venezuela (Bolivarian Republic of) (3); Viet Nam (5); Yemen (4).</w:t>
      </w:r>
    </w:p>
    <w:p w:rsidR="00614F82" w:rsidRPr="004141C1" w:rsidRDefault="00614F82" w:rsidP="004141C1">
      <w:pPr>
        <w:pStyle w:val="SingleTxtG"/>
        <w:rPr>
          <w:lang w:val="en-US"/>
        </w:rPr>
      </w:pPr>
      <w:r w:rsidRPr="007A0E66">
        <w:rPr>
          <w:lang w:val="en-US"/>
        </w:rPr>
        <w:t>A copy of one joint urgent appeal was sent to the United Nations Resident Coordinator in the Republic of Moldova, and one urgent appeal was</w:t>
      </w:r>
      <w:r w:rsidRPr="00614F82">
        <w:rPr>
          <w:lang w:val="en-US"/>
        </w:rPr>
        <w:t xml:space="preserve"> transmitted to the African Union.</w:t>
      </w:r>
      <w:r w:rsidRPr="00614F82">
        <w:t xml:space="preserve"> </w:t>
      </w:r>
    </w:p>
    <w:p w:rsidR="00CC4FCB" w:rsidRPr="00021AF6" w:rsidRDefault="0021743E" w:rsidP="0021743E">
      <w:pPr>
        <w:pStyle w:val="SingleTxtG"/>
        <w:rPr>
          <w:rStyle w:val="FootnoteReference"/>
          <w:sz w:val="20"/>
          <w:vertAlign w:val="baseline"/>
        </w:rPr>
      </w:pPr>
      <w:r w:rsidRPr="00021AF6">
        <w:rPr>
          <w:rStyle w:val="FootnoteReference"/>
          <w:sz w:val="20"/>
          <w:vertAlign w:val="baseline"/>
          <w:lang w:val="en-US"/>
        </w:rPr>
        <w:t>37.</w:t>
      </w:r>
      <w:r w:rsidRPr="00021AF6">
        <w:rPr>
          <w:rStyle w:val="FootnoteReference"/>
          <w:sz w:val="20"/>
          <w:vertAlign w:val="baseline"/>
          <w:lang w:val="en-US"/>
        </w:rPr>
        <w:tab/>
      </w:r>
      <w:r w:rsidR="00CC4FCB" w:rsidRPr="007D6865">
        <w:t>The full text of the urgent appeals can be consulted in the joint reports on communications</w:t>
      </w:r>
      <w:r w:rsidR="00591DFA">
        <w:t>.</w:t>
      </w:r>
      <w:r w:rsidR="009D1CA1" w:rsidRPr="00E35007">
        <w:rPr>
          <w:rStyle w:val="FootnoteReference"/>
        </w:rPr>
        <w:footnoteReference w:id="2"/>
      </w:r>
    </w:p>
    <w:p w:rsidR="00CC4FCB" w:rsidRPr="007D6865" w:rsidRDefault="0021743E" w:rsidP="0021743E">
      <w:pPr>
        <w:pStyle w:val="SingleTxtG"/>
      </w:pPr>
      <w:r w:rsidRPr="007D6865">
        <w:rPr>
          <w:lang w:val="en-US"/>
        </w:rPr>
        <w:t>38.</w:t>
      </w:r>
      <w:r w:rsidRPr="007D6865">
        <w:rPr>
          <w:lang w:val="en-US"/>
        </w:rPr>
        <w:tab/>
      </w:r>
      <w:r w:rsidR="00CC4FCB" w:rsidRPr="007D6865">
        <w:t xml:space="preserve">In conformity with paragraphs 22 to 24 of its </w:t>
      </w:r>
      <w:r w:rsidR="001F713A">
        <w:t>m</w:t>
      </w:r>
      <w:r w:rsidR="00CC4FCB" w:rsidRPr="007D6865">
        <w:t xml:space="preserve">ethods of </w:t>
      </w:r>
      <w:r w:rsidR="001F713A">
        <w:t>w</w:t>
      </w:r>
      <w:r w:rsidR="00CC4FCB" w:rsidRPr="007D6865">
        <w:t xml:space="preserve">ork, the Working Group, without prejudging whether a detention was arbitrary, drew the attention of each of the Governments concerned to the specific case as reported, and appealed to them to take the measures </w:t>
      </w:r>
      <w:r w:rsidR="001A2E24" w:rsidRPr="001A2E24">
        <w:t xml:space="preserve">necessary </w:t>
      </w:r>
      <w:r w:rsidR="00CC4FCB" w:rsidRPr="007D6865">
        <w:t>to ensure that the detained persons’ rights to life and to physical integrity were respected.</w:t>
      </w:r>
    </w:p>
    <w:p w:rsidR="00CC4FCB" w:rsidRPr="007D6865" w:rsidRDefault="0021743E" w:rsidP="0021743E">
      <w:pPr>
        <w:pStyle w:val="SingleTxtG"/>
      </w:pPr>
      <w:r w:rsidRPr="007D6865">
        <w:rPr>
          <w:lang w:val="en-US"/>
        </w:rPr>
        <w:t>39.</w:t>
      </w:r>
      <w:r w:rsidRPr="007D6865">
        <w:rPr>
          <w:lang w:val="en-US"/>
        </w:rPr>
        <w:tab/>
      </w:r>
      <w:r w:rsidR="00CC4FCB" w:rsidRPr="007D6865">
        <w:t xml:space="preserve">When </w:t>
      </w:r>
      <w:r w:rsidR="00B20E06">
        <w:t>an</w:t>
      </w:r>
      <w:r w:rsidR="00CC4FCB" w:rsidRPr="007D6865">
        <w:t xml:space="preserve"> appeal made reference to the critical state of health of certain persons or to particular circumstances, such as failure to execute a court order for release, the Working Group requested the Government concerned to take all measures </w:t>
      </w:r>
      <w:r w:rsidR="001A2E24" w:rsidRPr="001A2E24">
        <w:t xml:space="preserve">necessary </w:t>
      </w:r>
      <w:r w:rsidR="00CC4FCB" w:rsidRPr="007D6865">
        <w:t xml:space="preserve">to have the person concerned released. In accordance with Human Rights Council resolution 5/2, the Working Group integrated into its </w:t>
      </w:r>
      <w:r w:rsidR="001A2E24">
        <w:t>m</w:t>
      </w:r>
      <w:r w:rsidR="00CC4FCB" w:rsidRPr="007D6865">
        <w:t xml:space="preserve">ethods of </w:t>
      </w:r>
      <w:r w:rsidR="001A2E24">
        <w:t>w</w:t>
      </w:r>
      <w:r w:rsidR="00CC4FCB" w:rsidRPr="007D6865">
        <w:t>ork the prescriptions of the Code of Conduct for Special Procedures Mandate-holders of the Human Rights Council relating to urgent appeals and has since applied them.</w:t>
      </w:r>
    </w:p>
    <w:p w:rsidR="00CC4FCB" w:rsidRPr="007D6865" w:rsidRDefault="0021743E" w:rsidP="0021743E">
      <w:pPr>
        <w:pStyle w:val="SingleTxtG"/>
      </w:pPr>
      <w:r w:rsidRPr="007D6865">
        <w:rPr>
          <w:lang w:val="en-US"/>
        </w:rPr>
        <w:t>40.</w:t>
      </w:r>
      <w:r w:rsidRPr="007D6865">
        <w:rPr>
          <w:lang w:val="en-US"/>
        </w:rPr>
        <w:tab/>
      </w:r>
      <w:r w:rsidR="00CC4FCB" w:rsidRPr="007D6865">
        <w:t xml:space="preserve">During the period under review, the Working Group also sent six letters of allegation to Australia, Iraq, Libya, Nigeria, </w:t>
      </w:r>
      <w:r w:rsidR="007043D4">
        <w:t xml:space="preserve">the </w:t>
      </w:r>
      <w:r w:rsidR="00CC4FCB" w:rsidRPr="007D6865">
        <w:t>Syrian Arab Republic and Uganda</w:t>
      </w:r>
      <w:r w:rsidR="008970B1" w:rsidRPr="007D6865">
        <w:t>.</w:t>
      </w:r>
    </w:p>
    <w:p w:rsidR="00CC4FCB" w:rsidRPr="009D1CA1" w:rsidRDefault="0021743E" w:rsidP="0021743E">
      <w:pPr>
        <w:pStyle w:val="SingleTxtG"/>
      </w:pPr>
      <w:r w:rsidRPr="009D1CA1">
        <w:rPr>
          <w:lang w:val="en-US"/>
        </w:rPr>
        <w:t>41.</w:t>
      </w:r>
      <w:r w:rsidRPr="009D1CA1">
        <w:rPr>
          <w:lang w:val="en-US"/>
        </w:rPr>
        <w:tab/>
      </w:r>
      <w:r w:rsidR="00CC4FCB" w:rsidRPr="009D1CA1">
        <w:t xml:space="preserve">The Working Group wishes to thank those Governments that heeded its appeals and </w:t>
      </w:r>
      <w:r w:rsidR="00B20E06">
        <w:t xml:space="preserve">that </w:t>
      </w:r>
      <w:r w:rsidR="00CC4FCB" w:rsidRPr="009D1CA1">
        <w:t>took steps to provide it with information on the situation of the persons concerned, especially the Governments that released those persons. In other cases, the Working Group was assured that the detainees concerned would receive fair trial guarantees.</w:t>
      </w:r>
    </w:p>
    <w:p w:rsidR="00215F2E" w:rsidRPr="00A540DF" w:rsidRDefault="00215F2E" w:rsidP="00A540DF">
      <w:pPr>
        <w:pStyle w:val="H1G"/>
      </w:pPr>
      <w:r w:rsidRPr="00A540DF">
        <w:tab/>
        <w:t>B.</w:t>
      </w:r>
      <w:r w:rsidRPr="00A540DF">
        <w:tab/>
        <w:t>Country visits</w:t>
      </w:r>
    </w:p>
    <w:p w:rsidR="00215F2E" w:rsidRPr="00A540DF" w:rsidRDefault="00215F2E" w:rsidP="00A540DF">
      <w:pPr>
        <w:pStyle w:val="H23G"/>
      </w:pPr>
      <w:r w:rsidRPr="00A540DF">
        <w:tab/>
        <w:t>1.</w:t>
      </w:r>
      <w:r w:rsidRPr="00A540DF">
        <w:tab/>
        <w:t>Requests for visits</w:t>
      </w:r>
    </w:p>
    <w:p w:rsidR="00215F2E" w:rsidRPr="004B5B01" w:rsidRDefault="0021743E" w:rsidP="0021743E">
      <w:pPr>
        <w:pStyle w:val="SingleTxtG"/>
      </w:pPr>
      <w:r w:rsidRPr="004B5B01">
        <w:rPr>
          <w:lang w:val="en-US"/>
        </w:rPr>
        <w:t>42.</w:t>
      </w:r>
      <w:r w:rsidRPr="004B5B01">
        <w:rPr>
          <w:lang w:val="en-US"/>
        </w:rPr>
        <w:tab/>
      </w:r>
      <w:r w:rsidR="00215F2E" w:rsidRPr="004B5B01">
        <w:t>The Working Group has been invited to visit Argentina (follow-up visit), Azerbaijan</w:t>
      </w:r>
      <w:r w:rsidR="001A2E24">
        <w:t>,</w:t>
      </w:r>
      <w:r w:rsidR="007043D4">
        <w:t xml:space="preserve"> </w:t>
      </w:r>
      <w:r w:rsidR="00215F2E" w:rsidRPr="004B5B01">
        <w:t>Burkina Faso</w:t>
      </w:r>
      <w:r w:rsidR="001A2E24">
        <w:t>,</w:t>
      </w:r>
      <w:r w:rsidR="007043D4">
        <w:t xml:space="preserve"> </w:t>
      </w:r>
      <w:r w:rsidR="009C7868" w:rsidRPr="004B5B01">
        <w:t>India</w:t>
      </w:r>
      <w:r w:rsidR="001A2E24">
        <w:t>,</w:t>
      </w:r>
      <w:r w:rsidR="009C7868" w:rsidRPr="004B5B01">
        <w:t xml:space="preserve"> Japan</w:t>
      </w:r>
      <w:r w:rsidR="001A2E24">
        <w:t>,</w:t>
      </w:r>
      <w:r w:rsidR="00215F2E" w:rsidRPr="004B5B01">
        <w:t xml:space="preserve"> Libya</w:t>
      </w:r>
      <w:r w:rsidR="001A2E24">
        <w:t>,</w:t>
      </w:r>
      <w:r w:rsidR="007043D4">
        <w:t xml:space="preserve"> </w:t>
      </w:r>
      <w:r w:rsidR="00727DAC" w:rsidRPr="004B5B01">
        <w:t>Malta (follow-up visit)</w:t>
      </w:r>
      <w:r w:rsidR="001A2E24">
        <w:t>,</w:t>
      </w:r>
      <w:r w:rsidR="007043D4">
        <w:t xml:space="preserve"> </w:t>
      </w:r>
      <w:r w:rsidR="00E85A77" w:rsidRPr="004B5B01">
        <w:t>Nauru</w:t>
      </w:r>
      <w:r w:rsidR="001A2E24">
        <w:t>,</w:t>
      </w:r>
      <w:r w:rsidR="007043D4">
        <w:t xml:space="preserve"> </w:t>
      </w:r>
      <w:r w:rsidR="00215F2E" w:rsidRPr="004B5B01">
        <w:t>Spain and the United States of America</w:t>
      </w:r>
      <w:r w:rsidR="009558F3">
        <w:t xml:space="preserve">, as well as </w:t>
      </w:r>
      <w:r w:rsidR="009558F3" w:rsidRPr="009558F3">
        <w:t>the State of Palestine</w:t>
      </w:r>
      <w:r w:rsidR="00215F2E" w:rsidRPr="004B5B01">
        <w:t>.</w:t>
      </w:r>
      <w:r w:rsidR="00311C55" w:rsidRPr="004B5B01">
        <w:t xml:space="preserve"> </w:t>
      </w:r>
    </w:p>
    <w:p w:rsidR="009C7868" w:rsidRPr="004B5B01" w:rsidRDefault="0021743E" w:rsidP="0021743E">
      <w:pPr>
        <w:pStyle w:val="SingleTxtG"/>
      </w:pPr>
      <w:r w:rsidRPr="004B5B01">
        <w:rPr>
          <w:lang w:val="en-US"/>
        </w:rPr>
        <w:t>43.</w:t>
      </w:r>
      <w:r w:rsidRPr="004B5B01">
        <w:rPr>
          <w:lang w:val="en-US"/>
        </w:rPr>
        <w:tab/>
      </w:r>
      <w:r w:rsidR="009C7868" w:rsidRPr="004B5B01">
        <w:t xml:space="preserve">As indicated in </w:t>
      </w:r>
      <w:r w:rsidR="00245C60">
        <w:t>paragraph </w:t>
      </w:r>
      <w:r w:rsidR="009558F3">
        <w:t>5</w:t>
      </w:r>
      <w:r w:rsidR="009C7868" w:rsidRPr="004B5B01">
        <w:t xml:space="preserve"> above, </w:t>
      </w:r>
      <w:r w:rsidR="007043D4">
        <w:t>o</w:t>
      </w:r>
      <w:r w:rsidR="009C7868" w:rsidRPr="004B5B01">
        <w:t xml:space="preserve">n 24 March 2014 the Government of Nauru cancelled the </w:t>
      </w:r>
      <w:r w:rsidR="009558F3">
        <w:t xml:space="preserve">scheduled </w:t>
      </w:r>
      <w:r w:rsidR="009C7868" w:rsidRPr="004B5B01">
        <w:t>visit of the Working Group</w:t>
      </w:r>
      <w:r w:rsidR="009558F3">
        <w:t xml:space="preserve">, and </w:t>
      </w:r>
      <w:r w:rsidR="009C7868" w:rsidRPr="004B5B01">
        <w:t xml:space="preserve">has </w:t>
      </w:r>
      <w:r w:rsidR="009558F3">
        <w:t xml:space="preserve">yet </w:t>
      </w:r>
      <w:r w:rsidR="009C7868" w:rsidRPr="004B5B01">
        <w:t xml:space="preserve">not accepted </w:t>
      </w:r>
      <w:r w:rsidR="009558F3">
        <w:t>the</w:t>
      </w:r>
      <w:r w:rsidR="009C7868" w:rsidRPr="004B5B01">
        <w:t xml:space="preserve"> new </w:t>
      </w:r>
      <w:r w:rsidR="009558F3">
        <w:t xml:space="preserve">proposed </w:t>
      </w:r>
      <w:r w:rsidR="009C7868" w:rsidRPr="004B5B01">
        <w:t>dates</w:t>
      </w:r>
      <w:r w:rsidR="009558F3">
        <w:t xml:space="preserve"> for the visit</w:t>
      </w:r>
      <w:r w:rsidR="009C7868" w:rsidRPr="004B5B01">
        <w:t xml:space="preserve">. </w:t>
      </w:r>
    </w:p>
    <w:p w:rsidR="00F927F2" w:rsidRPr="004B5B01" w:rsidRDefault="0021743E" w:rsidP="0021743E">
      <w:pPr>
        <w:pStyle w:val="SingleTxtG"/>
      </w:pPr>
      <w:r w:rsidRPr="004B5B01">
        <w:rPr>
          <w:lang w:val="en-US"/>
        </w:rPr>
        <w:t>44.</w:t>
      </w:r>
      <w:r w:rsidRPr="004B5B01">
        <w:rPr>
          <w:lang w:val="en-US"/>
        </w:rPr>
        <w:tab/>
      </w:r>
      <w:r w:rsidR="00215F2E" w:rsidRPr="004B5B01">
        <w:t xml:space="preserve">The Working Group has also asked to visit Algeria, </w:t>
      </w:r>
      <w:r w:rsidR="00A454CC">
        <w:t xml:space="preserve">the Democratic People’s Republic of Korea, </w:t>
      </w:r>
      <w:r w:rsidR="00215F2E" w:rsidRPr="004B5B01">
        <w:t xml:space="preserve">Egypt, Ethiopia, Fiji, </w:t>
      </w:r>
      <w:r w:rsidR="006844F1" w:rsidRPr="004B5B01">
        <w:t xml:space="preserve">Guatemala, </w:t>
      </w:r>
      <w:r w:rsidR="00215F2E" w:rsidRPr="004B5B01">
        <w:t>Guinea-Bissau</w:t>
      </w:r>
      <w:r w:rsidR="00E85A77" w:rsidRPr="004B5B01">
        <w:t>,</w:t>
      </w:r>
      <w:r w:rsidR="007364A2" w:rsidRPr="004B5B01">
        <w:t xml:space="preserve"> Kazakhstan, </w:t>
      </w:r>
      <w:r w:rsidR="006844F1" w:rsidRPr="004B5B01">
        <w:t>Kenya,</w:t>
      </w:r>
      <w:r w:rsidR="00430B0B" w:rsidRPr="004B5B01">
        <w:t xml:space="preserve"> Myanmar,</w:t>
      </w:r>
      <w:r w:rsidR="00215F2E" w:rsidRPr="004B5B01">
        <w:t xml:space="preserve"> Papua New Guinea, </w:t>
      </w:r>
      <w:r w:rsidR="00F00C95" w:rsidRPr="004B5B01">
        <w:t xml:space="preserve">the </w:t>
      </w:r>
      <w:r w:rsidR="00215F2E" w:rsidRPr="004B5B01">
        <w:t xml:space="preserve">Philippines, the </w:t>
      </w:r>
      <w:r w:rsidR="006844F1" w:rsidRPr="004B5B01">
        <w:t xml:space="preserve">Republic of Korea, the </w:t>
      </w:r>
      <w:r w:rsidR="00215F2E" w:rsidRPr="004B5B01">
        <w:t xml:space="preserve">Russian Federation, </w:t>
      </w:r>
      <w:r w:rsidR="006844F1" w:rsidRPr="004B5B01">
        <w:t xml:space="preserve">Rwanda, </w:t>
      </w:r>
      <w:r w:rsidR="00215F2E" w:rsidRPr="004B5B01">
        <w:t xml:space="preserve">Saudi Arabia, </w:t>
      </w:r>
      <w:r w:rsidR="00430B0B" w:rsidRPr="004B5B01">
        <w:t>Sierra Leone,</w:t>
      </w:r>
      <w:r w:rsidR="006844F1" w:rsidRPr="004B5B01">
        <w:t xml:space="preserve"> Singapore, </w:t>
      </w:r>
      <w:r w:rsidR="00215F2E" w:rsidRPr="004B5B01">
        <w:t xml:space="preserve">the Syrian Arab Republic, Thailand, Turkmenistan, </w:t>
      </w:r>
      <w:r w:rsidR="006844F1" w:rsidRPr="004B5B01">
        <w:t xml:space="preserve">Uganda, </w:t>
      </w:r>
      <w:r w:rsidR="00215F2E" w:rsidRPr="004B5B01">
        <w:t>Uzbekistan and the Bolivarian Republic of Venezuela.</w:t>
      </w:r>
      <w:r w:rsidR="00F927F2" w:rsidRPr="004B5B01">
        <w:t xml:space="preserve"> The Working Group has also sent requests for follow-up visits to </w:t>
      </w:r>
      <w:r w:rsidR="007D5B7D">
        <w:t xml:space="preserve">Bahrain, </w:t>
      </w:r>
      <w:r w:rsidR="00F927F2" w:rsidRPr="004B5B01">
        <w:t xml:space="preserve">China, Indonesia, Malaysia, </w:t>
      </w:r>
      <w:r w:rsidR="009C7868" w:rsidRPr="004B5B01">
        <w:t>Mexico</w:t>
      </w:r>
      <w:r w:rsidR="00F927F2" w:rsidRPr="004B5B01">
        <w:t xml:space="preserve"> </w:t>
      </w:r>
      <w:r w:rsidR="007D5B7D">
        <w:t xml:space="preserve">Nicaragua (limited to </w:t>
      </w:r>
      <w:proofErr w:type="spellStart"/>
      <w:r w:rsidR="007D5B7D">
        <w:t>Bluefields</w:t>
      </w:r>
      <w:proofErr w:type="spellEnd"/>
      <w:r w:rsidR="007D5B7D">
        <w:t xml:space="preserve">) </w:t>
      </w:r>
      <w:r w:rsidR="00F927F2" w:rsidRPr="004B5B01">
        <w:t>and Viet Nam.</w:t>
      </w:r>
    </w:p>
    <w:p w:rsidR="00215F2E" w:rsidRPr="00F927F2" w:rsidRDefault="00215F2E" w:rsidP="00A540DF">
      <w:pPr>
        <w:pStyle w:val="H23G"/>
      </w:pPr>
      <w:r w:rsidRPr="00F927F2">
        <w:tab/>
      </w:r>
      <w:r w:rsidR="00A540DF">
        <w:t>2</w:t>
      </w:r>
      <w:r w:rsidRPr="00F927F2">
        <w:t>.</w:t>
      </w:r>
      <w:r w:rsidRPr="00F927F2">
        <w:tab/>
        <w:t xml:space="preserve">Follow-up to country visits </w:t>
      </w:r>
    </w:p>
    <w:p w:rsidR="00215F2E" w:rsidRPr="004B5B01" w:rsidRDefault="0021743E" w:rsidP="0021743E">
      <w:pPr>
        <w:pStyle w:val="SingleTxtG"/>
      </w:pPr>
      <w:r w:rsidRPr="004B5B01">
        <w:rPr>
          <w:lang w:val="en-US"/>
        </w:rPr>
        <w:t>45.</w:t>
      </w:r>
      <w:r w:rsidRPr="004B5B01">
        <w:rPr>
          <w:lang w:val="en-US"/>
        </w:rPr>
        <w:tab/>
      </w:r>
      <w:r w:rsidR="00215F2E" w:rsidRPr="004B5B01">
        <w:t xml:space="preserve">In accordance with its </w:t>
      </w:r>
      <w:r w:rsidR="002C0879" w:rsidRPr="004B5B01">
        <w:t>m</w:t>
      </w:r>
      <w:r w:rsidR="00215F2E" w:rsidRPr="004B5B01">
        <w:t xml:space="preserve">ethods of </w:t>
      </w:r>
      <w:r w:rsidR="002C0879" w:rsidRPr="004B5B01">
        <w:t>w</w:t>
      </w:r>
      <w:r w:rsidR="00215F2E" w:rsidRPr="004B5B01">
        <w:t>ork, the Working Group decided in 1998 to address follow-up letter</w:t>
      </w:r>
      <w:r w:rsidR="009A505B">
        <w:t>s</w:t>
      </w:r>
      <w:r w:rsidR="00215F2E" w:rsidRPr="004B5B01">
        <w:t xml:space="preserve"> to the Governments of countries it had visited, requesting information on such initiatives as the authorities might have taken to give effect to the relevant recommendations adopted by the Working Group contained in the reports on its country visits (</w:t>
      </w:r>
      <w:r w:rsidR="00FB140C">
        <w:t xml:space="preserve">see </w:t>
      </w:r>
      <w:r w:rsidR="00215F2E" w:rsidRPr="004B5B01">
        <w:t xml:space="preserve">E/CN.4/1999/63, </w:t>
      </w:r>
      <w:r w:rsidR="00855034">
        <w:t>para. </w:t>
      </w:r>
      <w:r w:rsidR="00215F2E" w:rsidRPr="004B5B01">
        <w:t>36).</w:t>
      </w:r>
    </w:p>
    <w:p w:rsidR="00204B5B" w:rsidRPr="004B5B01" w:rsidRDefault="0021743E" w:rsidP="0021743E">
      <w:pPr>
        <w:pStyle w:val="SingleTxtG"/>
      </w:pPr>
      <w:r w:rsidRPr="004B5B01">
        <w:rPr>
          <w:lang w:val="en-US"/>
        </w:rPr>
        <w:t>46.</w:t>
      </w:r>
      <w:r w:rsidRPr="004B5B01">
        <w:rPr>
          <w:lang w:val="en-US"/>
        </w:rPr>
        <w:tab/>
      </w:r>
      <w:r w:rsidR="00FB140C">
        <w:t>In</w:t>
      </w:r>
      <w:r w:rsidR="00FB140C" w:rsidRPr="004B5B01">
        <w:t xml:space="preserve"> </w:t>
      </w:r>
      <w:r w:rsidR="00215F2E" w:rsidRPr="004B5B01">
        <w:t>201</w:t>
      </w:r>
      <w:r w:rsidR="00C55E9D" w:rsidRPr="004B5B01">
        <w:t>4</w:t>
      </w:r>
      <w:r w:rsidR="00215F2E" w:rsidRPr="004B5B01">
        <w:t>, the Working Group requested information from</w:t>
      </w:r>
      <w:r w:rsidR="00F7720D" w:rsidRPr="004B5B01">
        <w:t xml:space="preserve"> the Government of El</w:t>
      </w:r>
      <w:r w:rsidR="000E2733">
        <w:t> </w:t>
      </w:r>
      <w:r w:rsidR="00F7720D" w:rsidRPr="004B5B01">
        <w:t xml:space="preserve">Salvador, </w:t>
      </w:r>
      <w:r w:rsidR="00FB140C">
        <w:t>which</w:t>
      </w:r>
      <w:r w:rsidR="00FB140C" w:rsidRPr="004B5B01">
        <w:t xml:space="preserve"> </w:t>
      </w:r>
      <w:r w:rsidR="00103EB7" w:rsidRPr="004B5B01">
        <w:t xml:space="preserve">it had visited </w:t>
      </w:r>
      <w:r w:rsidR="009A505B">
        <w:t>in</w:t>
      </w:r>
      <w:r w:rsidR="009A505B" w:rsidRPr="004B5B01">
        <w:t xml:space="preserve"> </w:t>
      </w:r>
      <w:r w:rsidR="00103EB7" w:rsidRPr="004B5B01">
        <w:t>201</w:t>
      </w:r>
      <w:r w:rsidR="00C55E9D" w:rsidRPr="004B5B01">
        <w:t>2</w:t>
      </w:r>
      <w:r w:rsidR="005E1778" w:rsidRPr="004B5B01">
        <w:t>.</w:t>
      </w:r>
      <w:r w:rsidR="00CE0EF5">
        <w:t xml:space="preserve"> </w:t>
      </w:r>
      <w:r w:rsidR="00A454CC">
        <w:t xml:space="preserve">The Government submitted the requested information on 19 May 2015, </w:t>
      </w:r>
      <w:r w:rsidR="00FB140C">
        <w:t>that is,</w:t>
      </w:r>
      <w:r w:rsidR="00A454CC">
        <w:t xml:space="preserve"> after the adoption of the present report.</w:t>
      </w:r>
      <w:r w:rsidR="00CE0EF5">
        <w:t xml:space="preserve"> </w:t>
      </w:r>
      <w:r w:rsidR="00A454CC">
        <w:t xml:space="preserve">It will be considered </w:t>
      </w:r>
      <w:r w:rsidR="00482C75">
        <w:t xml:space="preserve">at the next session of the Working Group and summarized </w:t>
      </w:r>
      <w:r w:rsidR="00A454CC">
        <w:t>in the next annual report.</w:t>
      </w:r>
    </w:p>
    <w:p w:rsidR="00177C81" w:rsidRPr="00AC630F" w:rsidRDefault="00CB7260" w:rsidP="007A5B37">
      <w:pPr>
        <w:pStyle w:val="H1G"/>
      </w:pPr>
      <w:r w:rsidRPr="00AC630F">
        <w:tab/>
      </w:r>
      <w:r w:rsidR="00AC630F" w:rsidRPr="00AC630F">
        <w:t>C</w:t>
      </w:r>
      <w:r w:rsidR="0037162F" w:rsidRPr="00AC630F">
        <w:t>.</w:t>
      </w:r>
      <w:r w:rsidR="0037162F" w:rsidRPr="00AC630F">
        <w:tab/>
      </w:r>
      <w:r w:rsidR="006046D7" w:rsidRPr="00AC630F">
        <w:t xml:space="preserve">Consideration </w:t>
      </w:r>
      <w:r w:rsidR="007A5B37">
        <w:t>of</w:t>
      </w:r>
      <w:r w:rsidR="007A5B37" w:rsidRPr="00AC630F">
        <w:t xml:space="preserve"> </w:t>
      </w:r>
      <w:r w:rsidR="006046D7" w:rsidRPr="00AC630F">
        <w:t xml:space="preserve">the </w:t>
      </w:r>
      <w:r w:rsidR="00064958">
        <w:t>t</w:t>
      </w:r>
      <w:r w:rsidR="006046D7" w:rsidRPr="00AC630F">
        <w:t>itle of the Working Group</w:t>
      </w:r>
    </w:p>
    <w:p w:rsidR="006046D7" w:rsidRPr="00177C81" w:rsidRDefault="0021743E" w:rsidP="0021743E">
      <w:pPr>
        <w:pStyle w:val="SingleTxtG"/>
      </w:pPr>
      <w:r w:rsidRPr="00177C81">
        <w:rPr>
          <w:lang w:val="en-US"/>
        </w:rPr>
        <w:t>47.</w:t>
      </w:r>
      <w:r w:rsidRPr="00177C81">
        <w:rPr>
          <w:lang w:val="en-US"/>
        </w:rPr>
        <w:tab/>
      </w:r>
      <w:r w:rsidR="00064958">
        <w:t xml:space="preserve">In its </w:t>
      </w:r>
      <w:r w:rsidR="00064958" w:rsidRPr="00064958">
        <w:t xml:space="preserve">resolution 1991/42 </w:t>
      </w:r>
      <w:r w:rsidR="00064958">
        <w:t>establishing</w:t>
      </w:r>
      <w:r w:rsidR="006046D7" w:rsidRPr="00177C81">
        <w:t xml:space="preserve"> the Working Group on Arbitrary Detention, the</w:t>
      </w:r>
      <w:r w:rsidR="00A454CC">
        <w:t xml:space="preserve"> </w:t>
      </w:r>
      <w:r w:rsidR="006046D7" w:rsidRPr="00177C81">
        <w:t>Commission on Human Rights did not define the term “</w:t>
      </w:r>
      <w:r w:rsidR="006046D7" w:rsidRPr="004141C1">
        <w:rPr>
          <w:iCs/>
        </w:rPr>
        <w:t>detention</w:t>
      </w:r>
      <w:r w:rsidR="006046D7" w:rsidRPr="00177C81">
        <w:t xml:space="preserve">”. </w:t>
      </w:r>
    </w:p>
    <w:p w:rsidR="006046D7" w:rsidRPr="00177C81" w:rsidRDefault="0021743E" w:rsidP="0021743E">
      <w:pPr>
        <w:pStyle w:val="SingleTxtG"/>
      </w:pPr>
      <w:r w:rsidRPr="00177C81">
        <w:rPr>
          <w:lang w:val="en-US"/>
        </w:rPr>
        <w:t>48.</w:t>
      </w:r>
      <w:r w:rsidRPr="00177C81">
        <w:rPr>
          <w:lang w:val="en-US"/>
        </w:rPr>
        <w:tab/>
      </w:r>
      <w:r w:rsidR="00064958">
        <w:t>T</w:t>
      </w:r>
      <w:r w:rsidR="006046D7" w:rsidRPr="00177C81">
        <w:t xml:space="preserve">he international human rights instruments that protect the right to personal liberty guarantee that no one shall be arbitrarily </w:t>
      </w:r>
      <w:r w:rsidR="006046D7" w:rsidRPr="004141C1">
        <w:rPr>
          <w:iCs/>
        </w:rPr>
        <w:t xml:space="preserve">deprived of his </w:t>
      </w:r>
      <w:r w:rsidR="00A15510">
        <w:rPr>
          <w:iCs/>
        </w:rPr>
        <w:t xml:space="preserve">or her </w:t>
      </w:r>
      <w:r w:rsidR="006046D7" w:rsidRPr="004141C1">
        <w:rPr>
          <w:iCs/>
        </w:rPr>
        <w:t>liberty</w:t>
      </w:r>
      <w:r w:rsidR="006046D7" w:rsidRPr="00177C81">
        <w:t>.</w:t>
      </w:r>
      <w:r w:rsidR="00CE0EF5">
        <w:t xml:space="preserve"> </w:t>
      </w:r>
      <w:r w:rsidR="006046D7" w:rsidRPr="00177C81">
        <w:t xml:space="preserve">The relevant international instruments do not always use the same terminology to refer to deprivation of liberty: they may </w:t>
      </w:r>
      <w:r w:rsidR="009A505B">
        <w:t>use</w:t>
      </w:r>
      <w:r w:rsidR="006046D7" w:rsidRPr="00177C81">
        <w:t xml:space="preserve"> “arrest”, “apprehension”, “detention”, “incarceration”, “prison”, “reclusion”, “custody”, “remand” </w:t>
      </w:r>
      <w:r w:rsidR="00A15510">
        <w:rPr>
          <w:iCs/>
        </w:rPr>
        <w:t>and other terms</w:t>
      </w:r>
      <w:r w:rsidR="006046D7" w:rsidRPr="00177C81">
        <w:t xml:space="preserve">. </w:t>
      </w:r>
    </w:p>
    <w:p w:rsidR="006046D7" w:rsidRPr="00177C81" w:rsidRDefault="0021743E" w:rsidP="0021743E">
      <w:pPr>
        <w:pStyle w:val="SingleTxtG"/>
      </w:pPr>
      <w:r w:rsidRPr="00177C81">
        <w:rPr>
          <w:lang w:val="en-US"/>
        </w:rPr>
        <w:t>49.</w:t>
      </w:r>
      <w:r w:rsidRPr="00177C81">
        <w:rPr>
          <w:lang w:val="en-US"/>
        </w:rPr>
        <w:tab/>
      </w:r>
      <w:r w:rsidR="006046D7" w:rsidRPr="00177C81">
        <w:t xml:space="preserve">These different interpretations of the term “detention” were </w:t>
      </w:r>
      <w:r w:rsidR="00A15510">
        <w:t>re</w:t>
      </w:r>
      <w:r w:rsidR="006046D7" w:rsidRPr="00177C81">
        <w:t xml:space="preserve">solved by </w:t>
      </w:r>
      <w:r w:rsidR="00A15510">
        <w:t xml:space="preserve">the </w:t>
      </w:r>
      <w:r w:rsidR="006046D7" w:rsidRPr="00177C81">
        <w:t xml:space="preserve">adoption of </w:t>
      </w:r>
      <w:r w:rsidR="00A15510" w:rsidRPr="00A15510">
        <w:t>Commission on Human Rights</w:t>
      </w:r>
      <w:r w:rsidR="00A15510">
        <w:t xml:space="preserve"> </w:t>
      </w:r>
      <w:r w:rsidR="006046D7" w:rsidRPr="00177C81">
        <w:t>resolution 1997/50</w:t>
      </w:r>
      <w:r w:rsidR="00A15510">
        <w:t>, in which</w:t>
      </w:r>
      <w:r w:rsidR="006046D7" w:rsidRPr="00177C81">
        <w:t xml:space="preserve"> </w:t>
      </w:r>
      <w:r w:rsidR="00A15510">
        <w:t>t</w:t>
      </w:r>
      <w:r w:rsidR="006046D7" w:rsidRPr="00177C81">
        <w:t>he Commission opted for the term “deprivation of liberty”. However, this change of terminology has not been reflected in the title of the Working Group</w:t>
      </w:r>
      <w:r w:rsidR="00A15510">
        <w:t>,</w:t>
      </w:r>
      <w:r w:rsidR="006046D7" w:rsidRPr="00177C81">
        <w:t xml:space="preserve"> which often leads to misinterpretation of the mandate of the </w:t>
      </w:r>
      <w:r w:rsidR="00A15510">
        <w:t xml:space="preserve">Working </w:t>
      </w:r>
      <w:r w:rsidR="006046D7" w:rsidRPr="00177C81">
        <w:t xml:space="preserve">Group. </w:t>
      </w:r>
    </w:p>
    <w:p w:rsidR="006046D7" w:rsidRPr="00177C81" w:rsidRDefault="0021743E" w:rsidP="0021743E">
      <w:pPr>
        <w:pStyle w:val="SingleTxtG"/>
      </w:pPr>
      <w:r w:rsidRPr="00177C81">
        <w:rPr>
          <w:lang w:val="en-US"/>
        </w:rPr>
        <w:t>50.</w:t>
      </w:r>
      <w:r w:rsidRPr="00177C81">
        <w:rPr>
          <w:lang w:val="en-US"/>
        </w:rPr>
        <w:tab/>
      </w:r>
      <w:r w:rsidR="00A454CC">
        <w:t xml:space="preserve">The Working Group requests the Human Rights Council to consider </w:t>
      </w:r>
      <w:r w:rsidR="006A4906">
        <w:t>bringing</w:t>
      </w:r>
      <w:r w:rsidR="006046D7" w:rsidRPr="00177C81">
        <w:t xml:space="preserve"> the </w:t>
      </w:r>
      <w:r w:rsidR="006A4906">
        <w:t xml:space="preserve">name of the </w:t>
      </w:r>
      <w:r w:rsidR="006046D7" w:rsidRPr="00177C81">
        <w:t>Working Group in</w:t>
      </w:r>
      <w:r w:rsidR="00A15510">
        <w:t>to</w:t>
      </w:r>
      <w:r w:rsidR="006046D7" w:rsidRPr="00177C81">
        <w:t xml:space="preserve"> line with resolution 1991/42</w:t>
      </w:r>
      <w:r w:rsidR="00A15510">
        <w:t xml:space="preserve"> by revising it to</w:t>
      </w:r>
      <w:r w:rsidR="006A4906">
        <w:t xml:space="preserve"> the</w:t>
      </w:r>
      <w:r w:rsidR="006046D7" w:rsidRPr="00177C81">
        <w:t xml:space="preserve"> Working Group on Arbitrary Deprivation of Liberty. </w:t>
      </w:r>
    </w:p>
    <w:p w:rsidR="00AC630F" w:rsidRPr="00A540DF" w:rsidRDefault="00215F2E" w:rsidP="00275393">
      <w:pPr>
        <w:pStyle w:val="H1G"/>
      </w:pPr>
      <w:r w:rsidRPr="00A540DF">
        <w:tab/>
      </w:r>
      <w:r w:rsidR="00193C1D">
        <w:t>D</w:t>
      </w:r>
      <w:r w:rsidR="00AC630F" w:rsidRPr="00A540DF">
        <w:t>.</w:t>
      </w:r>
      <w:r w:rsidR="00AC630F" w:rsidRPr="00A540DF">
        <w:tab/>
        <w:t>Follow-up to the joint study on secret detention</w:t>
      </w:r>
    </w:p>
    <w:p w:rsidR="00215F2E" w:rsidRPr="004B5B01" w:rsidRDefault="0021743E" w:rsidP="0021743E">
      <w:pPr>
        <w:pStyle w:val="SingleTxtG"/>
      </w:pPr>
      <w:r w:rsidRPr="004B5B01">
        <w:rPr>
          <w:lang w:val="en-US"/>
        </w:rPr>
        <w:t>51.</w:t>
      </w:r>
      <w:r w:rsidRPr="004B5B01">
        <w:rPr>
          <w:lang w:val="en-US"/>
        </w:rPr>
        <w:tab/>
      </w:r>
      <w:r w:rsidR="009A505B">
        <w:t>T</w:t>
      </w:r>
      <w:r w:rsidR="00215F2E" w:rsidRPr="004B5B01">
        <w:t xml:space="preserve">he Working Group </w:t>
      </w:r>
      <w:r w:rsidR="009C4F66">
        <w:t xml:space="preserve">has continued to </w:t>
      </w:r>
      <w:r w:rsidR="00215F2E" w:rsidRPr="004B5B01">
        <w:t>consider how it can contribute to the follow-up of the joint study on secret detention (A/HRC/13/42) within its mandate. The Working Group will also follow</w:t>
      </w:r>
      <w:r w:rsidR="003B2DFE">
        <w:t xml:space="preserve"> </w:t>
      </w:r>
      <w:r w:rsidR="00215F2E" w:rsidRPr="004B5B01">
        <w:t xml:space="preserve">up </w:t>
      </w:r>
      <w:r w:rsidR="003B2DFE">
        <w:t>on</w:t>
      </w:r>
      <w:r w:rsidR="003B2DFE" w:rsidRPr="004B5B01">
        <w:t xml:space="preserve"> </w:t>
      </w:r>
      <w:r w:rsidR="00215F2E" w:rsidRPr="004B5B01">
        <w:t>its own previous reports and</w:t>
      </w:r>
      <w:r w:rsidR="00F41958" w:rsidRPr="004B5B01">
        <w:t xml:space="preserve"> opinions on </w:t>
      </w:r>
      <w:r w:rsidR="00A454CC">
        <w:t xml:space="preserve">secret </w:t>
      </w:r>
      <w:r w:rsidR="00F41958" w:rsidRPr="004B5B01">
        <w:t>detention and anti</w:t>
      </w:r>
      <w:r w:rsidR="003B2DFE">
        <w:t>-</w:t>
      </w:r>
      <w:r w:rsidR="00215F2E" w:rsidRPr="004B5B01">
        <w:t>terrorism measures, taking account of subsequent developments</w:t>
      </w:r>
      <w:r w:rsidR="0092139B" w:rsidRPr="004B5B01">
        <w:t>,</w:t>
      </w:r>
      <w:r w:rsidR="00215F2E" w:rsidRPr="004B5B01">
        <w:t xml:space="preserve"> including the length of detention of individuals.</w:t>
      </w:r>
    </w:p>
    <w:p w:rsidR="003F22A6" w:rsidRPr="00177C81" w:rsidRDefault="00CB7260" w:rsidP="00275393">
      <w:pPr>
        <w:pStyle w:val="H1G"/>
        <w:rPr>
          <w:color w:val="000000"/>
          <w:szCs w:val="24"/>
        </w:rPr>
      </w:pPr>
      <w:r w:rsidRPr="00177C81">
        <w:rPr>
          <w:color w:val="000000"/>
          <w:szCs w:val="24"/>
        </w:rPr>
        <w:tab/>
      </w:r>
      <w:r w:rsidR="00193C1D">
        <w:rPr>
          <w:color w:val="000000"/>
          <w:szCs w:val="24"/>
        </w:rPr>
        <w:t>E</w:t>
      </w:r>
      <w:r w:rsidR="003F22A6" w:rsidRPr="00177C81">
        <w:rPr>
          <w:color w:val="000000"/>
          <w:szCs w:val="24"/>
        </w:rPr>
        <w:t>.</w:t>
      </w:r>
      <w:r w:rsidR="003F22A6" w:rsidRPr="00177C81">
        <w:rPr>
          <w:color w:val="000000"/>
          <w:szCs w:val="24"/>
        </w:rPr>
        <w:tab/>
        <w:t>Prevention of imminent arbitrary depr</w:t>
      </w:r>
      <w:r w:rsidR="000D75B3" w:rsidRPr="00177C81">
        <w:rPr>
          <w:color w:val="000000"/>
          <w:szCs w:val="24"/>
        </w:rPr>
        <w:t>i</w:t>
      </w:r>
      <w:r w:rsidR="003F22A6" w:rsidRPr="00177C81">
        <w:rPr>
          <w:color w:val="000000"/>
          <w:szCs w:val="24"/>
        </w:rPr>
        <w:t>vation of liberty</w:t>
      </w:r>
    </w:p>
    <w:p w:rsidR="00B25230" w:rsidRPr="004B5B01" w:rsidRDefault="0021743E" w:rsidP="0021743E">
      <w:pPr>
        <w:pStyle w:val="SingleTxtG"/>
      </w:pPr>
      <w:r w:rsidRPr="004B5B01">
        <w:rPr>
          <w:lang w:val="en-US"/>
        </w:rPr>
        <w:t>52.</w:t>
      </w:r>
      <w:r w:rsidRPr="004B5B01">
        <w:rPr>
          <w:lang w:val="en-US"/>
        </w:rPr>
        <w:tab/>
      </w:r>
      <w:r w:rsidR="00B25230" w:rsidRPr="004B5B01">
        <w:t xml:space="preserve">The Working Group has continued its deliberations </w:t>
      </w:r>
      <w:r w:rsidR="0092139B" w:rsidRPr="004B5B01">
        <w:t xml:space="preserve">on </w:t>
      </w:r>
      <w:r w:rsidR="00B25230" w:rsidRPr="004B5B01">
        <w:t xml:space="preserve">the possibility of transmitting cases to Governments </w:t>
      </w:r>
      <w:r w:rsidR="0092139B" w:rsidRPr="004B5B01">
        <w:t>i</w:t>
      </w:r>
      <w:r w:rsidR="00B25230" w:rsidRPr="004B5B01">
        <w:t xml:space="preserve">n situations where an individual is at risk of being arrested </w:t>
      </w:r>
      <w:r w:rsidR="00E068AA">
        <w:t>pursuant to</w:t>
      </w:r>
      <w:r w:rsidR="00B25230" w:rsidRPr="004B5B01">
        <w:t xml:space="preserve"> an arrest warrant or detention order issued against him or her and where the resulting deprivation of liberty is likely to be arbitrary in nature.</w:t>
      </w:r>
    </w:p>
    <w:p w:rsidR="007B0318" w:rsidRPr="004B5B01" w:rsidRDefault="0021743E" w:rsidP="0021743E">
      <w:pPr>
        <w:pStyle w:val="SingleTxtG"/>
      </w:pPr>
      <w:r w:rsidRPr="004B5B01">
        <w:rPr>
          <w:lang w:val="en-US"/>
        </w:rPr>
        <w:t>53.</w:t>
      </w:r>
      <w:r w:rsidRPr="004B5B01">
        <w:rPr>
          <w:lang w:val="en-US"/>
        </w:rPr>
        <w:tab/>
      </w:r>
      <w:r w:rsidR="007B0318" w:rsidRPr="004B5B01">
        <w:t xml:space="preserve">Under </w:t>
      </w:r>
      <w:r w:rsidR="0092139B" w:rsidRPr="004B5B01">
        <w:t xml:space="preserve">its </w:t>
      </w:r>
      <w:r w:rsidR="00E068AA">
        <w:t>m</w:t>
      </w:r>
      <w:r w:rsidR="007B0318" w:rsidRPr="004B5B01">
        <w:t xml:space="preserve">ethods of </w:t>
      </w:r>
      <w:r w:rsidR="00E068AA">
        <w:t>w</w:t>
      </w:r>
      <w:r w:rsidR="007B0318" w:rsidRPr="004B5B01">
        <w:t xml:space="preserve">ork, </w:t>
      </w:r>
      <w:r w:rsidR="0092139B" w:rsidRPr="004B5B01">
        <w:t>the Working Group has</w:t>
      </w:r>
      <w:r w:rsidR="007B0318" w:rsidRPr="004B5B01">
        <w:t xml:space="preserve"> no mechanism to address situations where there is sufficiently reliable information that the execution of an order of arrest will inevitably result in arbitrary depr</w:t>
      </w:r>
      <w:r w:rsidR="00E068AA">
        <w:t>i</w:t>
      </w:r>
      <w:r w:rsidR="007B0318" w:rsidRPr="004B5B01">
        <w:t xml:space="preserve">vation of liberty. </w:t>
      </w:r>
      <w:r w:rsidR="001132A5" w:rsidRPr="004B5B01">
        <w:t>In effect, t</w:t>
      </w:r>
      <w:r w:rsidR="00375BAD" w:rsidRPr="004B5B01">
        <w:t xml:space="preserve">he </w:t>
      </w:r>
      <w:r w:rsidR="007B0318" w:rsidRPr="004B5B01">
        <w:t xml:space="preserve">Working Group </w:t>
      </w:r>
      <w:r w:rsidR="0092139B" w:rsidRPr="004B5B01">
        <w:t>currently has</w:t>
      </w:r>
      <w:r w:rsidR="007B0318" w:rsidRPr="004B5B01">
        <w:t xml:space="preserve"> to</w:t>
      </w:r>
      <w:r w:rsidR="001132A5" w:rsidRPr="004B5B01">
        <w:t xml:space="preserve"> </w:t>
      </w:r>
      <w:r w:rsidR="007B0318" w:rsidRPr="004B5B01">
        <w:t>wait until the arrest warrant is executed and the person is arbitrar</w:t>
      </w:r>
      <w:r w:rsidR="009A505B">
        <w:t>il</w:t>
      </w:r>
      <w:r w:rsidR="007B0318" w:rsidRPr="004B5B01">
        <w:t xml:space="preserve">y deprived of his or her liberty. </w:t>
      </w:r>
    </w:p>
    <w:p w:rsidR="00B25230" w:rsidRPr="004B5B01" w:rsidRDefault="0021743E" w:rsidP="0021743E">
      <w:pPr>
        <w:pStyle w:val="SingleTxtG"/>
      </w:pPr>
      <w:r w:rsidRPr="004B5B01">
        <w:rPr>
          <w:lang w:val="en-US"/>
        </w:rPr>
        <w:t>54.</w:t>
      </w:r>
      <w:r w:rsidRPr="004B5B01">
        <w:rPr>
          <w:lang w:val="en-US"/>
        </w:rPr>
        <w:tab/>
      </w:r>
      <w:r w:rsidR="00D00CAA" w:rsidRPr="004B5B01">
        <w:t xml:space="preserve">However, </w:t>
      </w:r>
      <w:r w:rsidR="005E101B" w:rsidRPr="004B5B01">
        <w:t xml:space="preserve">a </w:t>
      </w:r>
      <w:r w:rsidR="00072B94" w:rsidRPr="004B5B01">
        <w:t xml:space="preserve">preventive </w:t>
      </w:r>
      <w:r w:rsidR="00B25230" w:rsidRPr="004B5B01">
        <w:t>mechanism</w:t>
      </w:r>
      <w:r w:rsidR="00D00CAA" w:rsidRPr="004B5B01">
        <w:t xml:space="preserve"> </w:t>
      </w:r>
      <w:r w:rsidR="00B25230" w:rsidRPr="004B5B01">
        <w:t>might be applicable in situations whe</w:t>
      </w:r>
      <w:r w:rsidR="00E068AA">
        <w:t>re</w:t>
      </w:r>
      <w:r w:rsidR="00B25230" w:rsidRPr="004B5B01">
        <w:t xml:space="preserve"> an </w:t>
      </w:r>
      <w:r w:rsidR="0092139B" w:rsidRPr="004B5B01">
        <w:t>individual is to be arrested</w:t>
      </w:r>
      <w:r w:rsidR="00B25230" w:rsidRPr="004B5B01">
        <w:t xml:space="preserve"> solely </w:t>
      </w:r>
      <w:r w:rsidR="00D41F2B" w:rsidRPr="004B5B01">
        <w:t>because he or she has</w:t>
      </w:r>
      <w:r w:rsidR="00B25230" w:rsidRPr="004B5B01">
        <w:t xml:space="preserve"> exercise</w:t>
      </w:r>
      <w:r w:rsidR="00D41F2B" w:rsidRPr="004B5B01">
        <w:t>d</w:t>
      </w:r>
      <w:r w:rsidR="00B25230" w:rsidRPr="004B5B01">
        <w:t xml:space="preserve"> the fundamental rights or freedoms guar</w:t>
      </w:r>
      <w:r w:rsidR="00B06D26" w:rsidRPr="004B5B01">
        <w:t xml:space="preserve">anteed by </w:t>
      </w:r>
      <w:r w:rsidR="00B25230" w:rsidRPr="004B5B01">
        <w:t>international human rights law. Similarly, it could appl</w:t>
      </w:r>
      <w:r w:rsidR="00072B94" w:rsidRPr="004B5B01">
        <w:t>y</w:t>
      </w:r>
      <w:r w:rsidR="00B25230" w:rsidRPr="004B5B01">
        <w:t xml:space="preserve"> </w:t>
      </w:r>
      <w:r w:rsidR="00D41F2B" w:rsidRPr="004B5B01">
        <w:t xml:space="preserve">in </w:t>
      </w:r>
      <w:r w:rsidR="00B25230" w:rsidRPr="004B5B01">
        <w:t>situations where an imminent arrest would clear</w:t>
      </w:r>
      <w:r w:rsidR="00B06D26" w:rsidRPr="004B5B01">
        <w:t>ly constitute a violation of</w:t>
      </w:r>
      <w:r w:rsidR="00B25230" w:rsidRPr="004B5B01">
        <w:t xml:space="preserve"> international law prohibiting discrimination based on national</w:t>
      </w:r>
      <w:r w:rsidR="00E068AA">
        <w:t xml:space="preserve"> or</w:t>
      </w:r>
      <w:r w:rsidR="00B25230" w:rsidRPr="004B5B01">
        <w:t xml:space="preserve"> ethnic origin</w:t>
      </w:r>
      <w:r w:rsidR="00E068AA">
        <w:t>,</w:t>
      </w:r>
      <w:r w:rsidR="00B25230" w:rsidRPr="004B5B01">
        <w:t xml:space="preserve"> religion</w:t>
      </w:r>
      <w:r w:rsidR="00E068AA">
        <w:t>,</w:t>
      </w:r>
      <w:r w:rsidR="00B25230" w:rsidRPr="004B5B01">
        <w:t xml:space="preserve"> political or other opinion</w:t>
      </w:r>
      <w:r w:rsidR="00E068AA">
        <w:t>,</w:t>
      </w:r>
      <w:r w:rsidR="00B25230" w:rsidRPr="004B5B01">
        <w:t xml:space="preserve"> gender</w:t>
      </w:r>
      <w:r w:rsidR="00072B94" w:rsidRPr="004B5B01">
        <w:t>,</w:t>
      </w:r>
      <w:r w:rsidR="00B25230" w:rsidRPr="004B5B01">
        <w:t xml:space="preserve"> sexual orientation or other status, and which </w:t>
      </w:r>
      <w:r w:rsidR="00D41F2B" w:rsidRPr="004B5B01">
        <w:t xml:space="preserve">might </w:t>
      </w:r>
      <w:r w:rsidR="00B25230" w:rsidRPr="004B5B01">
        <w:t>result in the equality of human rights</w:t>
      </w:r>
      <w:r w:rsidR="00072B94" w:rsidRPr="004B5B01">
        <w:t xml:space="preserve"> being ignored</w:t>
      </w:r>
      <w:r w:rsidR="00B25230" w:rsidRPr="004B5B01">
        <w:t>.</w:t>
      </w:r>
    </w:p>
    <w:p w:rsidR="00B25230" w:rsidRPr="004B5B01" w:rsidRDefault="0021743E" w:rsidP="0021743E">
      <w:pPr>
        <w:pStyle w:val="SingleTxtG"/>
      </w:pPr>
      <w:r w:rsidRPr="004B5B01">
        <w:rPr>
          <w:lang w:val="en-US"/>
        </w:rPr>
        <w:t>55.</w:t>
      </w:r>
      <w:r w:rsidRPr="004B5B01">
        <w:rPr>
          <w:lang w:val="en-US"/>
        </w:rPr>
        <w:tab/>
      </w:r>
      <w:r w:rsidR="00B25230" w:rsidRPr="004B5B01">
        <w:t xml:space="preserve">If such </w:t>
      </w:r>
      <w:r w:rsidR="003238C8" w:rsidRPr="004B5B01">
        <w:t xml:space="preserve">a </w:t>
      </w:r>
      <w:r w:rsidR="00B25230" w:rsidRPr="004B5B01">
        <w:t xml:space="preserve">preventive mechanism </w:t>
      </w:r>
      <w:r w:rsidR="00072B94" w:rsidRPr="004B5B01">
        <w:t>wa</w:t>
      </w:r>
      <w:r w:rsidR="00B25230" w:rsidRPr="004B5B01">
        <w:t xml:space="preserve">s available </w:t>
      </w:r>
      <w:r w:rsidR="00072B94" w:rsidRPr="004B5B01">
        <w:t xml:space="preserve">to </w:t>
      </w:r>
      <w:r w:rsidR="00B25230" w:rsidRPr="004B5B01">
        <w:t xml:space="preserve">the Working Group, </w:t>
      </w:r>
      <w:r w:rsidR="00072B94" w:rsidRPr="004B5B01">
        <w:t>s</w:t>
      </w:r>
      <w:r w:rsidR="00B25230" w:rsidRPr="004B5B01">
        <w:t xml:space="preserve">ection </w:t>
      </w:r>
      <w:r w:rsidR="0099257E" w:rsidRPr="004B5B01">
        <w:t>V</w:t>
      </w:r>
      <w:r w:rsidR="00B25230" w:rsidRPr="004B5B01">
        <w:t xml:space="preserve"> of </w:t>
      </w:r>
      <w:r w:rsidR="0099257E" w:rsidRPr="004B5B01">
        <w:t xml:space="preserve">its </w:t>
      </w:r>
      <w:r w:rsidR="00837BEC">
        <w:t>m</w:t>
      </w:r>
      <w:r w:rsidR="00B25230" w:rsidRPr="004B5B01">
        <w:t xml:space="preserve">ethods of </w:t>
      </w:r>
      <w:r w:rsidR="00837BEC">
        <w:t>w</w:t>
      </w:r>
      <w:r w:rsidR="00B25230" w:rsidRPr="004B5B01">
        <w:t>ork</w:t>
      </w:r>
      <w:r w:rsidR="00837BEC">
        <w:t xml:space="preserve"> on</w:t>
      </w:r>
      <w:r w:rsidR="00B25230" w:rsidRPr="004B5B01">
        <w:t xml:space="preserve"> </w:t>
      </w:r>
      <w:r w:rsidR="00837BEC">
        <w:t xml:space="preserve">the </w:t>
      </w:r>
      <w:r w:rsidR="00072B94" w:rsidRPr="004B5B01">
        <w:t>u</w:t>
      </w:r>
      <w:r w:rsidR="00B25230" w:rsidRPr="004B5B01">
        <w:t>rgent action procedure would appl</w:t>
      </w:r>
      <w:r w:rsidR="00072B94" w:rsidRPr="004B5B01">
        <w:t>y</w:t>
      </w:r>
      <w:r w:rsidR="00B25230" w:rsidRPr="004B5B01">
        <w:t xml:space="preserve"> mutatis mutandis to the consideration of communications on imminent arbitrary depr</w:t>
      </w:r>
      <w:r w:rsidR="00072B94" w:rsidRPr="004B5B01">
        <w:t>i</w:t>
      </w:r>
      <w:r w:rsidR="00B25230" w:rsidRPr="004B5B01">
        <w:t>vation of liberty.</w:t>
      </w:r>
    </w:p>
    <w:p w:rsidR="003F22A6" w:rsidRPr="004B5B01" w:rsidRDefault="0021743E" w:rsidP="0021743E">
      <w:pPr>
        <w:pStyle w:val="SingleTxtG"/>
      </w:pPr>
      <w:r w:rsidRPr="004B5B01">
        <w:rPr>
          <w:lang w:val="en-US"/>
        </w:rPr>
        <w:t>56.</w:t>
      </w:r>
      <w:r w:rsidRPr="004B5B01">
        <w:rPr>
          <w:lang w:val="en-US"/>
        </w:rPr>
        <w:tab/>
      </w:r>
      <w:r w:rsidR="00B25230" w:rsidRPr="004B5B01">
        <w:t xml:space="preserve">As </w:t>
      </w:r>
      <w:r w:rsidR="009A505B">
        <w:t>regards</w:t>
      </w:r>
      <w:r w:rsidR="00B25230" w:rsidRPr="004B5B01">
        <w:t xml:space="preserve"> the action on </w:t>
      </w:r>
      <w:r w:rsidR="00F91096">
        <w:t xml:space="preserve">such </w:t>
      </w:r>
      <w:r w:rsidR="00B25230" w:rsidRPr="004B5B01">
        <w:t>communications, two options</w:t>
      </w:r>
      <w:r w:rsidR="00350294" w:rsidRPr="004B5B01">
        <w:t xml:space="preserve"> can be considered</w:t>
      </w:r>
      <w:r w:rsidR="00B25230" w:rsidRPr="004B5B01">
        <w:t xml:space="preserve">: </w:t>
      </w:r>
      <w:r w:rsidR="00350294" w:rsidRPr="004B5B01">
        <w:t>(</w:t>
      </w:r>
      <w:r w:rsidR="00B25230" w:rsidRPr="004B5B01">
        <w:t>a)</w:t>
      </w:r>
      <w:r w:rsidR="00855034">
        <w:t> </w:t>
      </w:r>
      <w:r w:rsidR="00B25230" w:rsidRPr="004B5B01">
        <w:t>if the Working Group consider</w:t>
      </w:r>
      <w:r w:rsidR="00D41F2B" w:rsidRPr="004B5B01">
        <w:t>ed</w:t>
      </w:r>
      <w:r w:rsidR="00B25230" w:rsidRPr="004B5B01">
        <w:t xml:space="preserve"> that the imminent detention </w:t>
      </w:r>
      <w:r w:rsidR="00D41F2B" w:rsidRPr="004B5B01">
        <w:t>wa</w:t>
      </w:r>
      <w:r w:rsidR="00B25230" w:rsidRPr="004B5B01">
        <w:t xml:space="preserve">s not of </w:t>
      </w:r>
      <w:r w:rsidR="00350294" w:rsidRPr="004B5B01">
        <w:t xml:space="preserve">an </w:t>
      </w:r>
      <w:r w:rsidR="00B25230" w:rsidRPr="004B5B01">
        <w:t xml:space="preserve">arbitrary </w:t>
      </w:r>
      <w:r w:rsidR="00350294" w:rsidRPr="004B5B01">
        <w:t>nature</w:t>
      </w:r>
      <w:r w:rsidR="00B25230" w:rsidRPr="004B5B01">
        <w:t xml:space="preserve">, it </w:t>
      </w:r>
      <w:r w:rsidR="00D41F2B" w:rsidRPr="004B5B01">
        <w:t xml:space="preserve">would </w:t>
      </w:r>
      <w:r w:rsidR="00B25230" w:rsidRPr="004B5B01">
        <w:t xml:space="preserve">render an </w:t>
      </w:r>
      <w:r w:rsidR="00837BEC">
        <w:t>o</w:t>
      </w:r>
      <w:r w:rsidR="00B25230" w:rsidRPr="004B5B01">
        <w:t>pinion to that effect</w:t>
      </w:r>
      <w:r w:rsidR="009A505B">
        <w:t>, and</w:t>
      </w:r>
      <w:r w:rsidR="00B25230" w:rsidRPr="004B5B01">
        <w:t xml:space="preserve"> </w:t>
      </w:r>
      <w:r w:rsidR="00D41F2B" w:rsidRPr="004B5B01">
        <w:t>s</w:t>
      </w:r>
      <w:r w:rsidR="00B25230" w:rsidRPr="004B5B01">
        <w:t>uch</w:t>
      </w:r>
      <w:r w:rsidR="00350294" w:rsidRPr="004B5B01">
        <w:t xml:space="preserve"> an</w:t>
      </w:r>
      <w:r w:rsidR="00B25230" w:rsidRPr="004B5B01">
        <w:t xml:space="preserve"> opinion </w:t>
      </w:r>
      <w:r w:rsidR="009A505B">
        <w:t>would</w:t>
      </w:r>
      <w:r w:rsidR="00B25230" w:rsidRPr="004B5B01">
        <w:t xml:space="preserve"> not prejudge any further consideration</w:t>
      </w:r>
      <w:r w:rsidR="00350294" w:rsidRPr="004B5B01">
        <w:t xml:space="preserve"> by the Working Group</w:t>
      </w:r>
      <w:r w:rsidR="00B25230" w:rsidRPr="004B5B01">
        <w:t xml:space="preserve"> of a communication </w:t>
      </w:r>
      <w:r w:rsidR="00837BEC">
        <w:t>regarding</w:t>
      </w:r>
      <w:r w:rsidR="00837BEC" w:rsidRPr="004B5B01">
        <w:t xml:space="preserve"> </w:t>
      </w:r>
      <w:r w:rsidR="00B25230" w:rsidRPr="004B5B01">
        <w:t xml:space="preserve">the case on other grounds provided for in the </w:t>
      </w:r>
      <w:r w:rsidR="00837BEC">
        <w:t>m</w:t>
      </w:r>
      <w:r w:rsidR="00B25230" w:rsidRPr="004B5B01">
        <w:t xml:space="preserve">ethods of </w:t>
      </w:r>
      <w:r w:rsidR="00837BEC">
        <w:t>w</w:t>
      </w:r>
      <w:r w:rsidR="00B25230" w:rsidRPr="004B5B01">
        <w:t xml:space="preserve">ork; </w:t>
      </w:r>
      <w:r w:rsidR="00451FC7">
        <w:t xml:space="preserve">and </w:t>
      </w:r>
      <w:r w:rsidR="00350294" w:rsidRPr="004B5B01">
        <w:t>(</w:t>
      </w:r>
      <w:r w:rsidR="00B25230" w:rsidRPr="004B5B01">
        <w:t>b)</w:t>
      </w:r>
      <w:r w:rsidR="00855034">
        <w:t> </w:t>
      </w:r>
      <w:r w:rsidR="00B25230" w:rsidRPr="004B5B01">
        <w:t>if the Working Group consider</w:t>
      </w:r>
      <w:r w:rsidR="00D41F2B" w:rsidRPr="004B5B01">
        <w:t>ed</w:t>
      </w:r>
      <w:r w:rsidR="00B25230" w:rsidRPr="004B5B01">
        <w:t xml:space="preserve"> that the arbitrary nature of the imminent detention </w:t>
      </w:r>
      <w:r w:rsidR="00D41F2B" w:rsidRPr="004B5B01">
        <w:t xml:space="preserve">had been </w:t>
      </w:r>
      <w:r w:rsidR="00B25230" w:rsidRPr="004B5B01">
        <w:t xml:space="preserve">established, it </w:t>
      </w:r>
      <w:r w:rsidR="00D41F2B" w:rsidRPr="004B5B01">
        <w:t xml:space="preserve">would </w:t>
      </w:r>
      <w:r w:rsidR="00B25230" w:rsidRPr="004B5B01">
        <w:t xml:space="preserve">render an </w:t>
      </w:r>
      <w:r w:rsidR="00837BEC">
        <w:t>o</w:t>
      </w:r>
      <w:r w:rsidR="00B25230" w:rsidRPr="004B5B01">
        <w:t>pinion to that effect and make recommendations to the Government.</w:t>
      </w:r>
      <w:r w:rsidR="00CE0EF5">
        <w:t xml:space="preserve"> </w:t>
      </w:r>
    </w:p>
    <w:p w:rsidR="002658D8" w:rsidRPr="009C29A2" w:rsidRDefault="00215F2E" w:rsidP="00A540DF">
      <w:pPr>
        <w:pStyle w:val="HChG"/>
      </w:pPr>
      <w:r w:rsidRPr="00177C81">
        <w:tab/>
      </w:r>
      <w:r w:rsidRPr="009C29A2">
        <w:t>III.</w:t>
      </w:r>
      <w:r w:rsidRPr="009C29A2">
        <w:tab/>
      </w:r>
      <w:r w:rsidR="002658D8" w:rsidRPr="009C29A2">
        <w:t xml:space="preserve">Thematic </w:t>
      </w:r>
      <w:r w:rsidR="00072B94" w:rsidRPr="009C29A2">
        <w:t>i</w:t>
      </w:r>
      <w:r w:rsidR="002658D8" w:rsidRPr="009C29A2">
        <w:t>ssues</w:t>
      </w:r>
    </w:p>
    <w:p w:rsidR="004C3820" w:rsidRDefault="006304C4" w:rsidP="00A540DF">
      <w:pPr>
        <w:pStyle w:val="H1G"/>
      </w:pPr>
      <w:r w:rsidRPr="003D02CE">
        <w:tab/>
      </w:r>
      <w:r w:rsidR="00215F2E" w:rsidRPr="003D02CE">
        <w:t>A.</w:t>
      </w:r>
      <w:r w:rsidRPr="003D02CE">
        <w:tab/>
      </w:r>
      <w:r w:rsidR="004C3820" w:rsidRPr="003D02CE">
        <w:t>Detention in the context of drug control</w:t>
      </w:r>
    </w:p>
    <w:p w:rsidR="00282A89" w:rsidRPr="00282A89" w:rsidRDefault="00282A89" w:rsidP="00282A89">
      <w:pPr>
        <w:pStyle w:val="H23G"/>
      </w:pPr>
      <w:r w:rsidRPr="00282A89">
        <w:tab/>
        <w:t>1.</w:t>
      </w:r>
      <w:r w:rsidRPr="00282A89">
        <w:tab/>
        <w:t>Drug policies and arbitrary detention</w:t>
      </w:r>
    </w:p>
    <w:p w:rsidR="00282A89" w:rsidRPr="00BA71B0" w:rsidRDefault="0021743E" w:rsidP="0021743E">
      <w:pPr>
        <w:pStyle w:val="SingleTxtG"/>
        <w:rPr>
          <w:lang w:val="en-US"/>
        </w:rPr>
      </w:pPr>
      <w:r w:rsidRPr="00BA71B0">
        <w:rPr>
          <w:lang w:val="en-US"/>
        </w:rPr>
        <w:t>57.</w:t>
      </w:r>
      <w:r w:rsidRPr="00BA71B0">
        <w:rPr>
          <w:lang w:val="en-US"/>
        </w:rPr>
        <w:tab/>
      </w:r>
      <w:r w:rsidR="00282A89" w:rsidRPr="00BA71B0">
        <w:rPr>
          <w:lang w:val="en-US"/>
        </w:rPr>
        <w:t xml:space="preserve">In </w:t>
      </w:r>
      <w:r w:rsidR="00837BEC">
        <w:rPr>
          <w:lang w:val="en-US"/>
        </w:rPr>
        <w:t xml:space="preserve">the </w:t>
      </w:r>
      <w:r w:rsidR="00282A89" w:rsidRPr="00BA71B0">
        <w:rPr>
          <w:lang w:val="en-US"/>
        </w:rPr>
        <w:t>light of communications received and findings resulting from country visits, the Working Group notes with concern the increasing</w:t>
      </w:r>
      <w:r w:rsidR="00837BEC">
        <w:rPr>
          <w:lang w:val="en-US"/>
        </w:rPr>
        <w:t>,</w:t>
      </w:r>
      <w:r w:rsidR="00555ACD">
        <w:rPr>
          <w:lang w:val="en-US"/>
        </w:rPr>
        <w:t xml:space="preserve"> </w:t>
      </w:r>
      <w:r w:rsidR="00282A89" w:rsidRPr="00BA71B0">
        <w:rPr>
          <w:lang w:val="en-US"/>
        </w:rPr>
        <w:t>and in some cases, systematic</w:t>
      </w:r>
      <w:r w:rsidR="00837BEC">
        <w:rPr>
          <w:lang w:val="en-US"/>
        </w:rPr>
        <w:t>,</w:t>
      </w:r>
      <w:r w:rsidR="00555ACD">
        <w:rPr>
          <w:lang w:val="en-US"/>
        </w:rPr>
        <w:t xml:space="preserve"> </w:t>
      </w:r>
      <w:r w:rsidR="00282A89" w:rsidRPr="00BA71B0">
        <w:rPr>
          <w:lang w:val="en-US"/>
        </w:rPr>
        <w:t>instances of arbitrary detention as a consequence of drug control laws and policies.</w:t>
      </w:r>
      <w:r w:rsidR="00282A89" w:rsidRPr="00E35007">
        <w:rPr>
          <w:rStyle w:val="FootnoteReference"/>
        </w:rPr>
        <w:footnoteReference w:id="3"/>
      </w:r>
      <w:r w:rsidR="00CE0EF5" w:rsidRPr="006A6318">
        <w:rPr>
          <w:rStyle w:val="FootnoteReference"/>
          <w:vertAlign w:val="baseline"/>
        </w:rPr>
        <w:t xml:space="preserve"> </w:t>
      </w:r>
      <w:r w:rsidR="00837BEC">
        <w:rPr>
          <w:lang w:val="en-US"/>
        </w:rPr>
        <w:t>T</w:t>
      </w:r>
      <w:r w:rsidR="00282A89" w:rsidRPr="00BA71B0">
        <w:rPr>
          <w:lang w:val="en-US"/>
        </w:rPr>
        <w:t xml:space="preserve">he Working Group believes it is </w:t>
      </w:r>
      <w:r w:rsidR="00282A89" w:rsidRPr="00F91096">
        <w:rPr>
          <w:lang w:val="en-US"/>
        </w:rPr>
        <w:t>topical</w:t>
      </w:r>
      <w:r w:rsidR="00282A89" w:rsidRPr="00BA71B0">
        <w:rPr>
          <w:lang w:val="en-US"/>
        </w:rPr>
        <w:t xml:space="preserve"> and necessary to further examine the relationship between drug control and arbitrary detention. </w:t>
      </w:r>
    </w:p>
    <w:p w:rsidR="00282A89" w:rsidRPr="00BA71B0" w:rsidRDefault="0021743E" w:rsidP="0021743E">
      <w:pPr>
        <w:pStyle w:val="SingleTxtG"/>
        <w:rPr>
          <w:lang w:val="en-US"/>
        </w:rPr>
      </w:pPr>
      <w:r w:rsidRPr="00BA71B0">
        <w:rPr>
          <w:lang w:val="en-US"/>
        </w:rPr>
        <w:t>58.</w:t>
      </w:r>
      <w:r w:rsidRPr="00BA71B0">
        <w:rPr>
          <w:lang w:val="en-US"/>
        </w:rPr>
        <w:tab/>
      </w:r>
      <w:r w:rsidR="00282A89" w:rsidRPr="00BA71B0">
        <w:rPr>
          <w:lang w:val="en-US"/>
        </w:rPr>
        <w:t>Arbitrary detention for drug offen</w:t>
      </w:r>
      <w:r w:rsidR="00CE20DB">
        <w:rPr>
          <w:lang w:val="en-US"/>
        </w:rPr>
        <w:t>c</w:t>
      </w:r>
      <w:r w:rsidR="00282A89" w:rsidRPr="00BA71B0">
        <w:rPr>
          <w:lang w:val="en-US"/>
        </w:rPr>
        <w:t>es or use can occur across criminal and administrative settings, particularly when procedural safeguards are absent</w:t>
      </w:r>
      <w:r w:rsidR="00D1786E">
        <w:t>.</w:t>
      </w:r>
      <w:r w:rsidR="00282A89" w:rsidRPr="00E35007">
        <w:rPr>
          <w:rStyle w:val="FootnoteReference"/>
        </w:rPr>
        <w:footnoteReference w:id="4"/>
      </w:r>
      <w:r w:rsidR="00282A89" w:rsidRPr="00B37338">
        <w:rPr>
          <w:rStyle w:val="FootnoteReference"/>
          <w:vertAlign w:val="baseline"/>
        </w:rPr>
        <w:t xml:space="preserve"> </w:t>
      </w:r>
      <w:r w:rsidR="00282A89" w:rsidRPr="00837BEC">
        <w:rPr>
          <w:rStyle w:val="FootnoteReference"/>
          <w:sz w:val="20"/>
          <w:vertAlign w:val="baseline"/>
        </w:rPr>
        <w:t>T</w:t>
      </w:r>
      <w:proofErr w:type="gramStart"/>
      <w:r w:rsidR="00282A89" w:rsidRPr="00BA71B0">
        <w:rPr>
          <w:lang w:val="en-US"/>
        </w:rPr>
        <w:t>he</w:t>
      </w:r>
      <w:proofErr w:type="gramEnd"/>
      <w:r w:rsidR="00282A89" w:rsidRPr="00BA71B0">
        <w:rPr>
          <w:lang w:val="en-US"/>
        </w:rPr>
        <w:t xml:space="preserve"> Working Group attaches particular importance to the fact that criminal and administrative detention for drug control purposes</w:t>
      </w:r>
      <w:r w:rsidR="00DB52D1">
        <w:rPr>
          <w:lang w:val="en-US"/>
        </w:rPr>
        <w:t xml:space="preserve"> has a</w:t>
      </w:r>
      <w:r w:rsidR="00282A89" w:rsidRPr="00BA71B0">
        <w:rPr>
          <w:lang w:val="en-US"/>
        </w:rPr>
        <w:t xml:space="preserve"> disproportionate impact</w:t>
      </w:r>
      <w:r w:rsidR="00DB52D1">
        <w:rPr>
          <w:lang w:val="en-US"/>
        </w:rPr>
        <w:t xml:space="preserve"> on</w:t>
      </w:r>
      <w:r w:rsidR="00282A89" w:rsidRPr="00BA71B0">
        <w:rPr>
          <w:lang w:val="en-US"/>
        </w:rPr>
        <w:t xml:space="preserve"> vulnerable groups, such as women, children</w:t>
      </w:r>
      <w:r w:rsidR="00DB52D1">
        <w:rPr>
          <w:lang w:val="en-US"/>
        </w:rPr>
        <w:t xml:space="preserve">, </w:t>
      </w:r>
      <w:r w:rsidR="00282A89" w:rsidRPr="00BA71B0">
        <w:rPr>
          <w:lang w:val="en-US"/>
        </w:rPr>
        <w:t>minority groups</w:t>
      </w:r>
      <w:r w:rsidR="00DB52D1">
        <w:rPr>
          <w:lang w:val="en-US"/>
        </w:rPr>
        <w:t xml:space="preserve"> and </w:t>
      </w:r>
      <w:r w:rsidR="00DB52D1" w:rsidRPr="00DB52D1">
        <w:rPr>
          <w:lang w:val="en-US"/>
        </w:rPr>
        <w:t>people who use drugs</w:t>
      </w:r>
      <w:r w:rsidR="00282A89" w:rsidRPr="00BA71B0">
        <w:rPr>
          <w:lang w:val="en-US"/>
        </w:rPr>
        <w:t>.</w:t>
      </w:r>
      <w:r w:rsidR="00282A89" w:rsidRPr="00E35007">
        <w:rPr>
          <w:rStyle w:val="FootnoteReference"/>
        </w:rPr>
        <w:footnoteReference w:id="5"/>
      </w:r>
    </w:p>
    <w:p w:rsidR="00282A89" w:rsidRPr="00BA71B0" w:rsidRDefault="0021743E" w:rsidP="0021743E">
      <w:pPr>
        <w:pStyle w:val="SingleTxtG"/>
        <w:rPr>
          <w:lang w:val="en-US"/>
        </w:rPr>
      </w:pPr>
      <w:r w:rsidRPr="00BA71B0">
        <w:rPr>
          <w:lang w:val="en-US"/>
        </w:rPr>
        <w:t>59.</w:t>
      </w:r>
      <w:r w:rsidRPr="00BA71B0">
        <w:rPr>
          <w:lang w:val="en-US"/>
        </w:rPr>
        <w:tab/>
      </w:r>
      <w:r w:rsidR="00282A89" w:rsidRPr="00BA71B0">
        <w:rPr>
          <w:lang w:val="en-US"/>
        </w:rPr>
        <w:t xml:space="preserve">The Working Group has expressed its concern about the frequent use of various forms of administrative detention that entail restrictions on fundamental rights, and considers </w:t>
      </w:r>
      <w:r w:rsidR="00F91096" w:rsidRPr="00F91096">
        <w:rPr>
          <w:lang w:val="en-US"/>
        </w:rPr>
        <w:t>to be worthy of attention</w:t>
      </w:r>
      <w:r w:rsidR="00282A89" w:rsidRPr="00BA71B0">
        <w:rPr>
          <w:lang w:val="en-US"/>
        </w:rPr>
        <w:t xml:space="preserve"> detention</w:t>
      </w:r>
      <w:r w:rsidR="00F91096">
        <w:rPr>
          <w:lang w:val="en-US"/>
        </w:rPr>
        <w:t xml:space="preserve"> imposed as a means</w:t>
      </w:r>
      <w:r w:rsidR="00282A89" w:rsidRPr="00BA71B0">
        <w:rPr>
          <w:lang w:val="en-US"/>
        </w:rPr>
        <w:t xml:space="preserve"> of</w:t>
      </w:r>
      <w:r w:rsidR="00F91096">
        <w:rPr>
          <w:lang w:val="en-US"/>
        </w:rPr>
        <w:t xml:space="preserve"> controlling</w:t>
      </w:r>
      <w:r w:rsidR="00282A89" w:rsidRPr="00BA71B0">
        <w:rPr>
          <w:lang w:val="en-US"/>
        </w:rPr>
        <w:t xml:space="preserve"> people who use drugs, especially when</w:t>
      </w:r>
      <w:r w:rsidR="00F91096">
        <w:rPr>
          <w:lang w:val="en-US"/>
        </w:rPr>
        <w:t xml:space="preserve"> such detentions are</w:t>
      </w:r>
      <w:r w:rsidR="00282A89" w:rsidRPr="00BA71B0">
        <w:rPr>
          <w:lang w:val="en-US"/>
        </w:rPr>
        <w:t xml:space="preserve"> framed as health interventions. States have incorporated </w:t>
      </w:r>
      <w:r w:rsidR="00F91096">
        <w:rPr>
          <w:lang w:val="en-US"/>
        </w:rPr>
        <w:t>such detention</w:t>
      </w:r>
      <w:r w:rsidR="00282A89" w:rsidRPr="00BA71B0">
        <w:rPr>
          <w:lang w:val="en-US"/>
        </w:rPr>
        <w:t xml:space="preserve"> into national legislation based on perceived notions that drug use in itself endangers the life of the person who uses, as well as the lives of others.</w:t>
      </w:r>
      <w:r w:rsidR="00282A89" w:rsidRPr="00E35007">
        <w:rPr>
          <w:rStyle w:val="FootnoteReference"/>
        </w:rPr>
        <w:footnoteReference w:id="6"/>
      </w:r>
      <w:r w:rsidR="00282A89" w:rsidRPr="004141C1">
        <w:rPr>
          <w:rStyle w:val="FootnoteReference"/>
          <w:vertAlign w:val="baseline"/>
        </w:rPr>
        <w:t xml:space="preserve"> </w:t>
      </w:r>
      <w:r w:rsidR="00282A89" w:rsidRPr="00BA71B0">
        <w:rPr>
          <w:lang w:val="en-US"/>
        </w:rPr>
        <w:t xml:space="preserve">This translates into administrative drug detention justified on the basis of health grounds, which can lead to involuntary commitment or compulsory drug treatment that is unsupported by either </w:t>
      </w:r>
      <w:r w:rsidR="00282A89" w:rsidRPr="002828A7">
        <w:rPr>
          <w:lang w:val="en-US"/>
        </w:rPr>
        <w:t xml:space="preserve">international drug control </w:t>
      </w:r>
      <w:r w:rsidR="009A505B">
        <w:rPr>
          <w:lang w:val="en-US"/>
        </w:rPr>
        <w:t xml:space="preserve">conventions </w:t>
      </w:r>
      <w:r w:rsidR="00282A89" w:rsidRPr="002828A7">
        <w:rPr>
          <w:lang w:val="en-US"/>
        </w:rPr>
        <w:t xml:space="preserve">or </w:t>
      </w:r>
      <w:r w:rsidR="002828A7">
        <w:rPr>
          <w:lang w:val="en-US"/>
        </w:rPr>
        <w:t xml:space="preserve">international </w:t>
      </w:r>
      <w:r w:rsidR="00282A89" w:rsidRPr="002828A7">
        <w:rPr>
          <w:lang w:val="en-US"/>
        </w:rPr>
        <w:t>human rights law</w:t>
      </w:r>
      <w:r w:rsidR="00282A89" w:rsidRPr="00BA71B0">
        <w:rPr>
          <w:lang w:val="en-US"/>
        </w:rPr>
        <w:t>.</w:t>
      </w:r>
      <w:r w:rsidR="00282A89" w:rsidRPr="00E35007">
        <w:rPr>
          <w:rStyle w:val="FootnoteReference"/>
        </w:rPr>
        <w:footnoteReference w:id="7"/>
      </w:r>
      <w:r w:rsidR="00282A89" w:rsidRPr="004141C1">
        <w:rPr>
          <w:rStyle w:val="FootnoteReference"/>
          <w:vertAlign w:val="baseline"/>
        </w:rPr>
        <w:t xml:space="preserve"> </w:t>
      </w:r>
      <w:r w:rsidR="00282A89" w:rsidRPr="00BA71B0">
        <w:rPr>
          <w:lang w:val="en-US"/>
        </w:rPr>
        <w:t xml:space="preserve">The Working Group has noted </w:t>
      </w:r>
      <w:r w:rsidR="0085040D" w:rsidRPr="0085040D">
        <w:rPr>
          <w:lang w:val="en-US"/>
        </w:rPr>
        <w:t xml:space="preserve">as particularly worrisome </w:t>
      </w:r>
      <w:r w:rsidR="00282A89" w:rsidRPr="00BA71B0">
        <w:rPr>
          <w:lang w:val="en-US"/>
        </w:rPr>
        <w:t>instances of arbitrary detention in Brazil</w:t>
      </w:r>
      <w:r w:rsidR="00282A89" w:rsidRPr="00E35007">
        <w:rPr>
          <w:rStyle w:val="FootnoteReference"/>
        </w:rPr>
        <w:footnoteReference w:id="8"/>
      </w:r>
      <w:r w:rsidR="00282A89" w:rsidRPr="00BA71B0">
        <w:rPr>
          <w:lang w:val="en-US"/>
        </w:rPr>
        <w:t xml:space="preserve"> and East Asia</w:t>
      </w:r>
      <w:r w:rsidR="00282A89" w:rsidRPr="00E35007">
        <w:rPr>
          <w:rStyle w:val="FootnoteReference"/>
        </w:rPr>
        <w:footnoteReference w:id="9"/>
      </w:r>
      <w:r w:rsidR="00CE0EF5">
        <w:rPr>
          <w:lang w:val="en-US"/>
        </w:rPr>
        <w:t xml:space="preserve"> </w:t>
      </w:r>
      <w:r w:rsidR="00EA6443">
        <w:rPr>
          <w:lang w:val="en-US"/>
        </w:rPr>
        <w:t>in the context of</w:t>
      </w:r>
      <w:r w:rsidR="0085040D" w:rsidRPr="0085040D">
        <w:rPr>
          <w:lang w:val="en-US"/>
        </w:rPr>
        <w:t xml:space="preserve"> the compulsory confinement of people who are suspected of using drugs</w:t>
      </w:r>
      <w:r w:rsidR="00F0715C">
        <w:rPr>
          <w:lang w:val="en-US"/>
        </w:rPr>
        <w:t>.</w:t>
      </w:r>
      <w:r w:rsidR="0085040D" w:rsidRPr="0085040D">
        <w:rPr>
          <w:lang w:val="en-US"/>
        </w:rPr>
        <w:t xml:space="preserve"> </w:t>
      </w:r>
      <w:r w:rsidR="00282A89" w:rsidRPr="00BA71B0">
        <w:rPr>
          <w:lang w:val="en-US"/>
        </w:rPr>
        <w:t xml:space="preserve">It </w:t>
      </w:r>
      <w:r w:rsidR="00EA6443">
        <w:rPr>
          <w:lang w:val="en-US"/>
        </w:rPr>
        <w:t>has been</w:t>
      </w:r>
      <w:r w:rsidR="00282A89" w:rsidRPr="00BA71B0">
        <w:rPr>
          <w:lang w:val="en-US"/>
        </w:rPr>
        <w:t xml:space="preserve"> established that detention </w:t>
      </w:r>
      <w:r w:rsidR="00EA6443">
        <w:rPr>
          <w:lang w:val="en-US"/>
        </w:rPr>
        <w:t>and</w:t>
      </w:r>
      <w:r w:rsidR="00282A89" w:rsidRPr="00BA71B0">
        <w:rPr>
          <w:lang w:val="en-US"/>
        </w:rPr>
        <w:t xml:space="preserve"> forced </w:t>
      </w:r>
      <w:proofErr w:type="spellStart"/>
      <w:r w:rsidR="00282A89" w:rsidRPr="00BA71B0">
        <w:rPr>
          <w:lang w:val="en-US"/>
        </w:rPr>
        <w:t>labour</w:t>
      </w:r>
      <w:proofErr w:type="spellEnd"/>
      <w:r w:rsidR="00282A89" w:rsidRPr="00BA71B0">
        <w:rPr>
          <w:lang w:val="en-US"/>
        </w:rPr>
        <w:t xml:space="preserve"> are not scientifically valid means to treat drug dependence.</w:t>
      </w:r>
      <w:r w:rsidR="00282A89" w:rsidRPr="00E35007">
        <w:rPr>
          <w:rStyle w:val="FootnoteReference"/>
        </w:rPr>
        <w:footnoteReference w:id="10"/>
      </w:r>
      <w:r w:rsidR="00282A89" w:rsidRPr="004141C1">
        <w:rPr>
          <w:rStyle w:val="FootnoteReference"/>
          <w:vertAlign w:val="baseline"/>
        </w:rPr>
        <w:t xml:space="preserve"> </w:t>
      </w:r>
      <w:r w:rsidR="00282A89" w:rsidRPr="00BA71B0">
        <w:rPr>
          <w:lang w:val="en-US"/>
        </w:rPr>
        <w:t xml:space="preserve">Compulsory detention regimes for purposes of drug </w:t>
      </w:r>
      <w:r w:rsidR="00B7492E">
        <w:rPr>
          <w:lang w:val="en-US"/>
        </w:rPr>
        <w:t>“</w:t>
      </w:r>
      <w:r w:rsidR="00282A89" w:rsidRPr="00BA71B0">
        <w:rPr>
          <w:lang w:val="en-US"/>
        </w:rPr>
        <w:t>rehabilitation</w:t>
      </w:r>
      <w:r w:rsidR="00B7492E">
        <w:rPr>
          <w:lang w:val="en-US"/>
        </w:rPr>
        <w:t>”</w:t>
      </w:r>
      <w:r w:rsidR="00282A89" w:rsidRPr="00BA71B0">
        <w:rPr>
          <w:lang w:val="en-US"/>
        </w:rPr>
        <w:t xml:space="preserve"> through confinement or forced </w:t>
      </w:r>
      <w:proofErr w:type="spellStart"/>
      <w:r w:rsidR="00282A89" w:rsidRPr="00BA71B0">
        <w:rPr>
          <w:lang w:val="en-US"/>
        </w:rPr>
        <w:t>labour</w:t>
      </w:r>
      <w:proofErr w:type="spellEnd"/>
      <w:r w:rsidR="00282A89" w:rsidRPr="00BA71B0">
        <w:rPr>
          <w:lang w:val="en-US"/>
        </w:rPr>
        <w:t xml:space="preserve"> are contrary to scientific evidence and inherently arbitrary.</w:t>
      </w:r>
      <w:r w:rsidR="00282A89" w:rsidRPr="00E35007">
        <w:rPr>
          <w:rStyle w:val="FootnoteReference"/>
        </w:rPr>
        <w:footnoteReference w:id="11"/>
      </w:r>
    </w:p>
    <w:p w:rsidR="00282A89" w:rsidRPr="00BA71B0" w:rsidRDefault="0021743E" w:rsidP="0021743E">
      <w:pPr>
        <w:pStyle w:val="SingleTxtG"/>
        <w:rPr>
          <w:lang w:val="en-US"/>
        </w:rPr>
      </w:pPr>
      <w:r w:rsidRPr="00BA71B0">
        <w:rPr>
          <w:lang w:val="en-US"/>
        </w:rPr>
        <w:t>60.</w:t>
      </w:r>
      <w:r w:rsidRPr="00BA71B0">
        <w:rPr>
          <w:lang w:val="en-US"/>
        </w:rPr>
        <w:tab/>
      </w:r>
      <w:r w:rsidR="00282A89" w:rsidRPr="00BA71B0">
        <w:rPr>
          <w:lang w:val="en-US"/>
        </w:rPr>
        <w:t xml:space="preserve">Drug consumption or dependence is not sufficient justification for detention. Involuntary confinement of those who use or are suspected of using drugs </w:t>
      </w:r>
      <w:r w:rsidR="00282A89">
        <w:rPr>
          <w:lang w:val="en-US"/>
        </w:rPr>
        <w:t>should be avoided</w:t>
      </w:r>
      <w:r w:rsidR="00282A89" w:rsidRPr="00BA71B0">
        <w:rPr>
          <w:lang w:val="en-US"/>
        </w:rPr>
        <w:t>.</w:t>
      </w:r>
      <w:r w:rsidR="00282A89" w:rsidRPr="00E35007">
        <w:rPr>
          <w:rStyle w:val="FootnoteReference"/>
        </w:rPr>
        <w:footnoteReference w:id="12"/>
      </w:r>
      <w:r w:rsidR="00282A89" w:rsidRPr="00E35007">
        <w:rPr>
          <w:rStyle w:val="FootnoteReference"/>
        </w:rPr>
        <w:t xml:space="preserve"> </w:t>
      </w:r>
    </w:p>
    <w:p w:rsidR="00282A89" w:rsidRPr="00B54A64" w:rsidRDefault="0021743E" w:rsidP="0021743E">
      <w:pPr>
        <w:pStyle w:val="SingleTxtG"/>
        <w:rPr>
          <w:lang w:val="en-US"/>
        </w:rPr>
      </w:pPr>
      <w:r w:rsidRPr="00B54A64">
        <w:rPr>
          <w:lang w:val="en-US"/>
        </w:rPr>
        <w:t>61.</w:t>
      </w:r>
      <w:r w:rsidRPr="00B54A64">
        <w:rPr>
          <w:lang w:val="en-US"/>
        </w:rPr>
        <w:tab/>
      </w:r>
      <w:r w:rsidR="00282A89" w:rsidRPr="00B54A64">
        <w:rPr>
          <w:lang w:val="en-US"/>
        </w:rPr>
        <w:t>The Working Group is also concerned about the use of criminal detention as a measure of drug control following charges for drug use, possession, production and trafficking. A variety of regional and international human rights instruments establish legal standards for detention based on criminal grounds, including minimum procedural guarantees.</w:t>
      </w:r>
      <w:r w:rsidR="00AC598D" w:rsidRPr="00AC598D">
        <w:rPr>
          <w:vertAlign w:val="superscript"/>
        </w:rPr>
        <w:footnoteReference w:id="13"/>
      </w:r>
      <w:r w:rsidR="00CE0EF5">
        <w:rPr>
          <w:lang w:val="en-US"/>
        </w:rPr>
        <w:t xml:space="preserve"> </w:t>
      </w:r>
      <w:r w:rsidR="00282A89" w:rsidRPr="00B54A64">
        <w:rPr>
          <w:lang w:val="en-US"/>
        </w:rPr>
        <w:t>These standards apply equally in cases of criminal detention for drug-related offen</w:t>
      </w:r>
      <w:r w:rsidR="00AC598D">
        <w:rPr>
          <w:lang w:val="en-US"/>
        </w:rPr>
        <w:t>c</w:t>
      </w:r>
      <w:r w:rsidR="00282A89" w:rsidRPr="00B54A64">
        <w:rPr>
          <w:lang w:val="en-US"/>
        </w:rPr>
        <w:t>es. Criminal laws and penal measures pursued under the existing punitive system of international drug control raise important questions of legality, proportionality, necessity and appropriateness.</w:t>
      </w:r>
      <w:r w:rsidR="00282A89" w:rsidRPr="00E35007">
        <w:rPr>
          <w:rStyle w:val="FootnoteReference"/>
        </w:rPr>
        <w:footnoteReference w:id="14"/>
      </w:r>
    </w:p>
    <w:p w:rsidR="00282A89" w:rsidRPr="00C47876" w:rsidRDefault="0021743E" w:rsidP="0021743E">
      <w:pPr>
        <w:pStyle w:val="SingleTxtG"/>
        <w:rPr>
          <w:lang w:val="en-US"/>
        </w:rPr>
      </w:pPr>
      <w:r w:rsidRPr="00C47876">
        <w:rPr>
          <w:lang w:val="en-US"/>
        </w:rPr>
        <w:t>62.</w:t>
      </w:r>
      <w:r w:rsidRPr="00C47876">
        <w:rPr>
          <w:lang w:val="en-US"/>
        </w:rPr>
        <w:tab/>
      </w:r>
      <w:r w:rsidR="00282A89" w:rsidRPr="00BA71B0">
        <w:rPr>
          <w:lang w:val="en-US"/>
        </w:rPr>
        <w:t>The Working Group has determined that pretrial detention regimes, including “</w:t>
      </w:r>
      <w:proofErr w:type="spellStart"/>
      <w:r w:rsidR="00282A89" w:rsidRPr="004141C1">
        <w:rPr>
          <w:i/>
          <w:iCs/>
          <w:lang w:val="en-US"/>
        </w:rPr>
        <w:t>arraigo</w:t>
      </w:r>
      <w:proofErr w:type="spellEnd"/>
      <w:r w:rsidR="00282A89" w:rsidRPr="00BA71B0">
        <w:rPr>
          <w:lang w:val="en-US"/>
        </w:rPr>
        <w:t>”</w:t>
      </w:r>
      <w:r w:rsidR="00282A89">
        <w:rPr>
          <w:lang w:val="en-US"/>
        </w:rPr>
        <w:t xml:space="preserve"> or other forms of detention to investigate</w:t>
      </w:r>
      <w:r w:rsidR="00F92AC1">
        <w:rPr>
          <w:lang w:val="en-US"/>
        </w:rPr>
        <w:t>,</w:t>
      </w:r>
      <w:r w:rsidR="00282A89">
        <w:rPr>
          <w:lang w:val="en-US"/>
        </w:rPr>
        <w:t xml:space="preserve"> as well as</w:t>
      </w:r>
      <w:r w:rsidR="00282A89" w:rsidRPr="00BA71B0">
        <w:rPr>
          <w:lang w:val="en-US"/>
        </w:rPr>
        <w:t xml:space="preserve"> bail systems, diminish a person’s ability to challenge his or her detention</w:t>
      </w:r>
      <w:r w:rsidR="00C47876">
        <w:rPr>
          <w:lang w:val="en-US"/>
        </w:rPr>
        <w:t>;</w:t>
      </w:r>
      <w:r w:rsidR="00282A89">
        <w:rPr>
          <w:lang w:val="en-US"/>
        </w:rPr>
        <w:t xml:space="preserve"> affect the presumption of innocence</w:t>
      </w:r>
      <w:r w:rsidR="00C47876">
        <w:rPr>
          <w:lang w:val="en-US"/>
        </w:rPr>
        <w:t>;</w:t>
      </w:r>
      <w:r w:rsidR="00282A89" w:rsidRPr="00BA71B0">
        <w:rPr>
          <w:lang w:val="en-US"/>
        </w:rPr>
        <w:t xml:space="preserve"> and overwhelm the justice system. Guarantees of equal protection before the law and procedural rights to access </w:t>
      </w:r>
      <w:r w:rsidR="00044AC3">
        <w:rPr>
          <w:lang w:val="en-US"/>
        </w:rPr>
        <w:t xml:space="preserve">to </w:t>
      </w:r>
      <w:r w:rsidR="00282A89" w:rsidRPr="00BA71B0">
        <w:rPr>
          <w:lang w:val="en-US"/>
        </w:rPr>
        <w:t xml:space="preserve">justice, including </w:t>
      </w:r>
      <w:r w:rsidR="00044AC3">
        <w:rPr>
          <w:lang w:val="en-US"/>
        </w:rPr>
        <w:t xml:space="preserve">the </w:t>
      </w:r>
      <w:r w:rsidR="00282A89">
        <w:rPr>
          <w:lang w:val="en-US"/>
        </w:rPr>
        <w:t xml:space="preserve">exceptionality of pretrial detentions, as well as </w:t>
      </w:r>
      <w:r w:rsidR="00282A89" w:rsidRPr="00BA71B0">
        <w:rPr>
          <w:lang w:val="en-US"/>
        </w:rPr>
        <w:t>guarantees of promptness for judicial review and court hearings to determine criminal responsibility</w:t>
      </w:r>
      <w:r w:rsidR="00044AC3">
        <w:rPr>
          <w:lang w:val="en-US"/>
        </w:rPr>
        <w:t>,</w:t>
      </w:r>
      <w:r w:rsidR="00282A89" w:rsidRPr="00BA71B0">
        <w:rPr>
          <w:lang w:val="en-US"/>
        </w:rPr>
        <w:t xml:space="preserve"> must be ensured, including when individuals are detained for drug-related reasons. </w:t>
      </w:r>
      <w:r w:rsidR="00282A89" w:rsidRPr="00C47876">
        <w:rPr>
          <w:lang w:val="en-US"/>
        </w:rPr>
        <w:t xml:space="preserve">As </w:t>
      </w:r>
      <w:r w:rsidR="00C47876" w:rsidRPr="00C47876">
        <w:rPr>
          <w:lang w:val="en-US"/>
        </w:rPr>
        <w:t xml:space="preserve">with </w:t>
      </w:r>
      <w:r w:rsidR="00282A89" w:rsidRPr="00C47876">
        <w:rPr>
          <w:lang w:val="en-US"/>
        </w:rPr>
        <w:t xml:space="preserve">any form of detention, </w:t>
      </w:r>
      <w:r w:rsidR="00C47876">
        <w:rPr>
          <w:lang w:val="en-US"/>
        </w:rPr>
        <w:t>such</w:t>
      </w:r>
      <w:r w:rsidR="00C47876" w:rsidRPr="00C47876">
        <w:rPr>
          <w:lang w:val="en-US"/>
        </w:rPr>
        <w:t xml:space="preserve"> </w:t>
      </w:r>
      <w:r w:rsidR="00282A89" w:rsidRPr="00C47876">
        <w:rPr>
          <w:lang w:val="en-US"/>
        </w:rPr>
        <w:t>individual</w:t>
      </w:r>
      <w:r w:rsidR="00C47876">
        <w:rPr>
          <w:lang w:val="en-US"/>
        </w:rPr>
        <w:t>s</w:t>
      </w:r>
      <w:r w:rsidR="00282A89" w:rsidRPr="00C47876">
        <w:rPr>
          <w:lang w:val="en-US"/>
        </w:rPr>
        <w:t xml:space="preserve"> must have judicial means to challenge the detention.</w:t>
      </w:r>
      <w:r w:rsidR="00282A89" w:rsidRPr="00E35007">
        <w:rPr>
          <w:rStyle w:val="FootnoteReference"/>
        </w:rPr>
        <w:footnoteReference w:id="15"/>
      </w:r>
      <w:r w:rsidR="00282A89" w:rsidRPr="00C47876">
        <w:rPr>
          <w:rStyle w:val="FootnoteReference"/>
          <w:vertAlign w:val="baseline"/>
        </w:rPr>
        <w:t xml:space="preserve"> </w:t>
      </w:r>
      <w:r w:rsidR="00282A89" w:rsidRPr="00C47876">
        <w:rPr>
          <w:lang w:val="en-US"/>
        </w:rPr>
        <w:t>The Working Group has noted</w:t>
      </w:r>
      <w:r w:rsidR="00064940" w:rsidRPr="00C47876">
        <w:rPr>
          <w:lang w:val="en-US"/>
        </w:rPr>
        <w:t xml:space="preserve"> in particular</w:t>
      </w:r>
      <w:r w:rsidR="00282A89" w:rsidRPr="00C47876">
        <w:rPr>
          <w:lang w:val="en-US"/>
        </w:rPr>
        <w:t xml:space="preserve"> that ongoing periodic judicial reviews are necessary to avoid prolonged detentions.</w:t>
      </w:r>
      <w:r w:rsidR="00282A89" w:rsidRPr="00E35007">
        <w:rPr>
          <w:rStyle w:val="FootnoteReference"/>
        </w:rPr>
        <w:footnoteReference w:id="16"/>
      </w:r>
      <w:bookmarkStart w:id="1" w:name="_GoBack"/>
      <w:bookmarkEnd w:id="1"/>
    </w:p>
    <w:p w:rsidR="00282A89" w:rsidRDefault="00282A89" w:rsidP="00F92AC1">
      <w:pPr>
        <w:pStyle w:val="H1G"/>
        <w:rPr>
          <w:lang w:val="en-US"/>
        </w:rPr>
      </w:pPr>
      <w:r>
        <w:rPr>
          <w:lang w:val="en-US"/>
        </w:rPr>
        <w:tab/>
      </w:r>
      <w:r w:rsidR="00F92AC1">
        <w:rPr>
          <w:lang w:val="en-US"/>
        </w:rPr>
        <w:t>B.</w:t>
      </w:r>
      <w:r w:rsidRPr="00282A89">
        <w:rPr>
          <w:lang w:val="en-US"/>
        </w:rPr>
        <w:tab/>
      </w:r>
      <w:r w:rsidR="00563521">
        <w:rPr>
          <w:lang w:val="en-US"/>
        </w:rPr>
        <w:t>P</w:t>
      </w:r>
      <w:r w:rsidR="00563521" w:rsidRPr="00563521">
        <w:rPr>
          <w:lang w:val="en-US"/>
        </w:rPr>
        <w:t>eaceful protests and arbitrary detention</w:t>
      </w:r>
    </w:p>
    <w:p w:rsidR="00282A89" w:rsidRDefault="0021743E" w:rsidP="0021743E">
      <w:pPr>
        <w:pStyle w:val="SingleTxtG"/>
        <w:rPr>
          <w:lang w:val="en-US"/>
        </w:rPr>
      </w:pPr>
      <w:r>
        <w:rPr>
          <w:lang w:val="en-US"/>
        </w:rPr>
        <w:t>63.</w:t>
      </w:r>
      <w:r>
        <w:rPr>
          <w:lang w:val="en-US"/>
        </w:rPr>
        <w:tab/>
      </w:r>
      <w:r w:rsidR="00C06EB1" w:rsidRPr="00C06EB1">
        <w:rPr>
          <w:lang w:val="en-US"/>
        </w:rPr>
        <w:t xml:space="preserve">The Working Group has received information and communications from different parts of the world </w:t>
      </w:r>
      <w:r w:rsidR="002F49AD">
        <w:rPr>
          <w:lang w:val="en-US"/>
        </w:rPr>
        <w:t xml:space="preserve">on </w:t>
      </w:r>
      <w:r w:rsidR="00C06EB1" w:rsidRPr="00C06EB1">
        <w:rPr>
          <w:lang w:val="en-US"/>
        </w:rPr>
        <w:t xml:space="preserve">the increase of detentions of persons </w:t>
      </w:r>
      <w:r w:rsidR="00F92AC1">
        <w:rPr>
          <w:lang w:val="en-US"/>
        </w:rPr>
        <w:t>in</w:t>
      </w:r>
      <w:r w:rsidR="00C06EB1" w:rsidRPr="00C06EB1">
        <w:rPr>
          <w:lang w:val="en-US"/>
        </w:rPr>
        <w:t xml:space="preserve"> </w:t>
      </w:r>
      <w:r w:rsidR="00F86803">
        <w:rPr>
          <w:lang w:val="en-US"/>
        </w:rPr>
        <w:t xml:space="preserve">the </w:t>
      </w:r>
      <w:r w:rsidR="00C06EB1" w:rsidRPr="00C06EB1">
        <w:rPr>
          <w:lang w:val="en-US"/>
        </w:rPr>
        <w:t>context of peaceful protests that could be considered as arbitrary in conformity with the Working Group</w:t>
      </w:r>
      <w:r w:rsidR="00AB746C">
        <w:rPr>
          <w:lang w:val="en-US"/>
        </w:rPr>
        <w:t>’</w:t>
      </w:r>
      <w:r w:rsidR="00C06EB1" w:rsidRPr="00C06EB1">
        <w:rPr>
          <w:lang w:val="en-US"/>
        </w:rPr>
        <w:t xml:space="preserve">s </w:t>
      </w:r>
      <w:r w:rsidR="002F49AD">
        <w:rPr>
          <w:lang w:val="en-US"/>
        </w:rPr>
        <w:t>m</w:t>
      </w:r>
      <w:r w:rsidR="00C06EB1" w:rsidRPr="00C06EB1">
        <w:rPr>
          <w:lang w:val="en-US"/>
        </w:rPr>
        <w:t xml:space="preserve">ethods of </w:t>
      </w:r>
      <w:r w:rsidR="002F49AD">
        <w:rPr>
          <w:lang w:val="en-US"/>
        </w:rPr>
        <w:t>w</w:t>
      </w:r>
      <w:r w:rsidR="00C06EB1" w:rsidRPr="00C06EB1">
        <w:rPr>
          <w:lang w:val="en-US"/>
        </w:rPr>
        <w:t>ork. Therefore</w:t>
      </w:r>
      <w:r w:rsidR="00F92AC1">
        <w:rPr>
          <w:lang w:val="en-US"/>
        </w:rPr>
        <w:t>,</w:t>
      </w:r>
      <w:r w:rsidR="00C06EB1" w:rsidRPr="00C06EB1">
        <w:rPr>
          <w:lang w:val="en-US"/>
        </w:rPr>
        <w:t xml:space="preserve"> the Working Group will consider this matter as a topic in its work for 2017 in coordination with other </w:t>
      </w:r>
      <w:r w:rsidR="002F49AD">
        <w:rPr>
          <w:lang w:val="en-US"/>
        </w:rPr>
        <w:t>s</w:t>
      </w:r>
      <w:r w:rsidR="00C06EB1" w:rsidRPr="00C06EB1">
        <w:rPr>
          <w:lang w:val="en-US"/>
        </w:rPr>
        <w:t xml:space="preserve">pecial </w:t>
      </w:r>
      <w:r w:rsidR="002F49AD">
        <w:rPr>
          <w:lang w:val="en-US"/>
        </w:rPr>
        <w:t>p</w:t>
      </w:r>
      <w:r w:rsidR="00C06EB1" w:rsidRPr="00C06EB1">
        <w:rPr>
          <w:lang w:val="en-US"/>
        </w:rPr>
        <w:t xml:space="preserve">rocedures of the Human Rights Council, </w:t>
      </w:r>
      <w:r w:rsidR="00F92AC1">
        <w:rPr>
          <w:lang w:val="en-US"/>
        </w:rPr>
        <w:t>the</w:t>
      </w:r>
      <w:r w:rsidR="00C06EB1" w:rsidRPr="00C06EB1">
        <w:rPr>
          <w:lang w:val="en-US"/>
        </w:rPr>
        <w:t xml:space="preserve"> regional human rights institutions and other relevant stakeholders.</w:t>
      </w:r>
    </w:p>
    <w:p w:rsidR="00F92AC1" w:rsidRDefault="00480961" w:rsidP="00F92AC1">
      <w:pPr>
        <w:pStyle w:val="H1G"/>
      </w:pPr>
      <w:r w:rsidRPr="00F92AC1">
        <w:tab/>
      </w:r>
      <w:r w:rsidR="00F92AC1" w:rsidRPr="00F92AC1">
        <w:t>C</w:t>
      </w:r>
      <w:r w:rsidR="002658D8" w:rsidRPr="00F92AC1">
        <w:t>.</w:t>
      </w:r>
      <w:r w:rsidR="002658D8" w:rsidRPr="00F92AC1">
        <w:tab/>
      </w:r>
      <w:r w:rsidR="003D02CE" w:rsidRPr="00F92AC1">
        <w:t>R</w:t>
      </w:r>
      <w:r w:rsidR="00F927F2" w:rsidRPr="00F92AC1">
        <w:t>emedies</w:t>
      </w:r>
      <w:r w:rsidR="003D02CE" w:rsidRPr="00F92AC1">
        <w:t xml:space="preserve"> for arbitrary detention</w:t>
      </w:r>
      <w:r w:rsidR="00F92AC1" w:rsidRPr="00F92AC1">
        <w:t xml:space="preserve"> </w:t>
      </w:r>
    </w:p>
    <w:p w:rsidR="00F92AC1" w:rsidRDefault="0021743E" w:rsidP="0021743E">
      <w:pPr>
        <w:pStyle w:val="SingleTxtG"/>
      </w:pPr>
      <w:r>
        <w:rPr>
          <w:lang w:val="en-US"/>
        </w:rPr>
        <w:t>64.</w:t>
      </w:r>
      <w:r>
        <w:rPr>
          <w:lang w:val="en-US"/>
        </w:rPr>
        <w:tab/>
      </w:r>
      <w:r w:rsidR="00F92AC1">
        <w:t>The duty to comply with international law rests on everyone, including domestic authorities and private individuals. International and domestic law must provide remedies to make international law effective. States are under a positive obligation to provide an effective remedy for violations of international human rights</w:t>
      </w:r>
      <w:r w:rsidR="00EC2200">
        <w:t xml:space="preserve"> law</w:t>
      </w:r>
      <w:r w:rsidR="00F92AC1">
        <w:t xml:space="preserve">. The remedy for arbitrary detention </w:t>
      </w:r>
      <w:r w:rsidR="00F92AC1" w:rsidRPr="00484AA2">
        <w:t>will regularly be</w:t>
      </w:r>
      <w:r w:rsidR="00F92AC1">
        <w:t xml:space="preserve"> immediate release. In most cases, </w:t>
      </w:r>
      <w:r w:rsidR="00EC2200">
        <w:t>including those</w:t>
      </w:r>
      <w:r w:rsidR="00F92AC1">
        <w:t xml:space="preserve"> where release </w:t>
      </w:r>
      <w:r w:rsidR="00F92AC1" w:rsidRPr="00484AA2">
        <w:t>is not a remedy</w:t>
      </w:r>
      <w:r w:rsidR="00F92AC1">
        <w:t xml:space="preserve">, the individual has a right to compensation. This right is firmly grounded in widespread international </w:t>
      </w:r>
      <w:r w:rsidR="00310A00" w:rsidRPr="00F4665B">
        <w:rPr>
          <w:lang w:val="en-US"/>
        </w:rPr>
        <w:t>practice</w:t>
      </w:r>
      <w:r w:rsidR="00310A00" w:rsidRPr="00E35007">
        <w:rPr>
          <w:rStyle w:val="FootnoteReference"/>
        </w:rPr>
        <w:footnoteReference w:id="17"/>
      </w:r>
      <w:r w:rsidR="0028665E">
        <w:rPr>
          <w:lang w:val="en-US"/>
        </w:rPr>
        <w:t xml:space="preserve"> </w:t>
      </w:r>
      <w:r w:rsidR="00F92AC1">
        <w:t xml:space="preserve">and on the </w:t>
      </w:r>
      <w:proofErr w:type="spellStart"/>
      <w:r w:rsidR="00F92AC1" w:rsidRPr="004141C1">
        <w:rPr>
          <w:i/>
          <w:iCs/>
        </w:rPr>
        <w:t>opinio</w:t>
      </w:r>
      <w:proofErr w:type="spellEnd"/>
      <w:r w:rsidR="00F92AC1" w:rsidRPr="004141C1">
        <w:rPr>
          <w:i/>
          <w:iCs/>
        </w:rPr>
        <w:t xml:space="preserve"> </w:t>
      </w:r>
      <w:r w:rsidR="00EC2200" w:rsidRPr="004141C1">
        <w:rPr>
          <w:i/>
          <w:iCs/>
        </w:rPr>
        <w:t>j</w:t>
      </w:r>
      <w:r w:rsidR="00F92AC1" w:rsidRPr="004141C1">
        <w:rPr>
          <w:i/>
          <w:iCs/>
        </w:rPr>
        <w:t>uris</w:t>
      </w:r>
      <w:r w:rsidR="00F92AC1">
        <w:t xml:space="preserve"> of </w:t>
      </w:r>
      <w:r w:rsidR="00EC2200">
        <w:t>S</w:t>
      </w:r>
      <w:r w:rsidR="00F92AC1">
        <w:t>tates</w:t>
      </w:r>
      <w:r w:rsidR="00EC2200">
        <w:t>;</w:t>
      </w:r>
      <w:r w:rsidR="00F92AC1">
        <w:t xml:space="preserve"> it is </w:t>
      </w:r>
      <w:r w:rsidR="00EC2200">
        <w:t xml:space="preserve">also included </w:t>
      </w:r>
      <w:r w:rsidR="00F92AC1">
        <w:t>in a wide range of international instruments</w:t>
      </w:r>
      <w:r w:rsidR="00310A00">
        <w:t>.</w:t>
      </w:r>
      <w:r w:rsidR="00CE0EF5">
        <w:t xml:space="preserve"> </w:t>
      </w:r>
      <w:r w:rsidR="00310A00">
        <w:t>I</w:t>
      </w:r>
      <w:r w:rsidR="00F92AC1">
        <w:t xml:space="preserve">t is found in the domestic law of almost all </w:t>
      </w:r>
      <w:r w:rsidR="00EC2200">
        <w:t>S</w:t>
      </w:r>
      <w:r w:rsidR="00F92AC1">
        <w:t>tates</w:t>
      </w:r>
      <w:r w:rsidR="00EC2200">
        <w:t>,</w:t>
      </w:r>
      <w:r w:rsidR="00F92AC1">
        <w:t xml:space="preserve"> and breaches are denounced. The right constitutes a general principle of international law, based</w:t>
      </w:r>
      <w:r w:rsidR="00EC2200">
        <w:t xml:space="preserve"> both</w:t>
      </w:r>
      <w:r w:rsidR="00F92AC1">
        <w:t xml:space="preserve"> in domestic law and its application across sectors of international law and treaty</w:t>
      </w:r>
      <w:r w:rsidR="00310A00" w:rsidRPr="00310A00">
        <w:rPr>
          <w:lang w:val="en-US"/>
        </w:rPr>
        <w:t xml:space="preserve"> </w:t>
      </w:r>
      <w:r w:rsidR="00310A00">
        <w:rPr>
          <w:lang w:val="en-US"/>
        </w:rPr>
        <w:t>regimes.</w:t>
      </w:r>
      <w:r w:rsidR="00310A00" w:rsidRPr="00E35007">
        <w:rPr>
          <w:rStyle w:val="FootnoteReference"/>
        </w:rPr>
        <w:footnoteReference w:id="18"/>
      </w:r>
      <w:r w:rsidR="00CE0EF5" w:rsidRPr="00391CC5">
        <w:rPr>
          <w:rStyle w:val="FootnoteReference"/>
          <w:vertAlign w:val="baseline"/>
        </w:rPr>
        <w:t xml:space="preserve"> </w:t>
      </w:r>
      <w:r w:rsidR="00F92AC1">
        <w:t xml:space="preserve">Domestic law, whether constitutional or based on legislation or case law, has a particular role in the field of human rights law where the duties </w:t>
      </w:r>
      <w:r w:rsidR="00CD61E9">
        <w:t xml:space="preserve">are </w:t>
      </w:r>
      <w:r w:rsidR="00F92AC1">
        <w:t xml:space="preserve">primarily </w:t>
      </w:r>
      <w:r w:rsidR="00CD61E9">
        <w:t>those of States</w:t>
      </w:r>
      <w:r w:rsidR="00F92AC1">
        <w:t xml:space="preserve"> to individuals. Domestic law is scrutinized in the Human Rights Council and its </w:t>
      </w:r>
      <w:r w:rsidR="00CD61E9">
        <w:t>various</w:t>
      </w:r>
      <w:r w:rsidR="00F92AC1">
        <w:t xml:space="preserve"> </w:t>
      </w:r>
      <w:r w:rsidR="00CD61E9">
        <w:t>mechanisms</w:t>
      </w:r>
      <w:r w:rsidR="00F177AA">
        <w:t>;</w:t>
      </w:r>
      <w:r w:rsidR="000D7AD5">
        <w:t xml:space="preserve"> </w:t>
      </w:r>
      <w:r w:rsidR="00493CA3">
        <w:t>indeed,</w:t>
      </w:r>
      <w:r w:rsidR="00F92AC1">
        <w:t xml:space="preserve"> many of th</w:t>
      </w:r>
      <w:r w:rsidR="00493CA3">
        <w:t>ose</w:t>
      </w:r>
      <w:r w:rsidR="00F92AC1">
        <w:t xml:space="preserve"> </w:t>
      </w:r>
      <w:r w:rsidR="00493CA3">
        <w:t>mechanisms</w:t>
      </w:r>
      <w:r w:rsidR="00F92AC1">
        <w:t xml:space="preserve"> have as their main aim the review of domestic law and practice. This produces much evidence of </w:t>
      </w:r>
      <w:r w:rsidR="00CD61E9">
        <w:t>S</w:t>
      </w:r>
      <w:r w:rsidR="00F92AC1">
        <w:t xml:space="preserve">tate practice and </w:t>
      </w:r>
      <w:proofErr w:type="spellStart"/>
      <w:r w:rsidR="00F92AC1" w:rsidRPr="004141C1">
        <w:rPr>
          <w:i/>
          <w:iCs/>
        </w:rPr>
        <w:t>opinio</w:t>
      </w:r>
      <w:proofErr w:type="spellEnd"/>
      <w:r w:rsidR="00F92AC1" w:rsidRPr="004141C1">
        <w:rPr>
          <w:i/>
          <w:iCs/>
        </w:rPr>
        <w:t xml:space="preserve"> juris</w:t>
      </w:r>
      <w:r w:rsidR="00F92AC1">
        <w:t xml:space="preserve">. In addition, declarations and other statements made by </w:t>
      </w:r>
      <w:r w:rsidR="00CD61E9">
        <w:t>S</w:t>
      </w:r>
      <w:r w:rsidR="00F92AC1">
        <w:t xml:space="preserve">tates about their own law and its compliance with international law and further reaching human rights standards, and comments and denunciations of other </w:t>
      </w:r>
      <w:r w:rsidR="00CD61E9">
        <w:t>S</w:t>
      </w:r>
      <w:r w:rsidR="00F92AC1">
        <w:t xml:space="preserve">tates, </w:t>
      </w:r>
      <w:r w:rsidR="00502E30">
        <w:t>serve as additional</w:t>
      </w:r>
      <w:r w:rsidR="00F92AC1">
        <w:t xml:space="preserve"> sources of </w:t>
      </w:r>
      <w:proofErr w:type="spellStart"/>
      <w:r w:rsidR="00F92AC1" w:rsidRPr="004141C1">
        <w:rPr>
          <w:i/>
          <w:iCs/>
        </w:rPr>
        <w:t>opinio</w:t>
      </w:r>
      <w:proofErr w:type="spellEnd"/>
      <w:r w:rsidR="00F92AC1" w:rsidRPr="004141C1">
        <w:rPr>
          <w:i/>
          <w:iCs/>
        </w:rPr>
        <w:t xml:space="preserve"> juris</w:t>
      </w:r>
      <w:r w:rsidR="00F92AC1">
        <w:t xml:space="preserve">. </w:t>
      </w:r>
    </w:p>
    <w:p w:rsidR="008C727D" w:rsidRDefault="0021743E" w:rsidP="0021743E">
      <w:pPr>
        <w:pStyle w:val="SingleTxtG"/>
      </w:pPr>
      <w:r>
        <w:rPr>
          <w:lang w:val="en-US"/>
        </w:rPr>
        <w:t>65.</w:t>
      </w:r>
      <w:r>
        <w:rPr>
          <w:lang w:val="en-US"/>
        </w:rPr>
        <w:tab/>
      </w:r>
      <w:r w:rsidR="00F92AC1">
        <w:t>Domestic courts have a particular role in granting tort remedies (</w:t>
      </w:r>
      <w:proofErr w:type="spellStart"/>
      <w:r w:rsidR="00F92AC1" w:rsidRPr="004141C1">
        <w:rPr>
          <w:i/>
          <w:iCs/>
        </w:rPr>
        <w:t>responsabilité</w:t>
      </w:r>
      <w:proofErr w:type="spellEnd"/>
      <w:r w:rsidR="00F92AC1" w:rsidRPr="004141C1">
        <w:rPr>
          <w:i/>
          <w:iCs/>
        </w:rPr>
        <w:t xml:space="preserve"> administrative et </w:t>
      </w:r>
      <w:proofErr w:type="spellStart"/>
      <w:r w:rsidR="00F92AC1" w:rsidRPr="004141C1">
        <w:rPr>
          <w:i/>
          <w:iCs/>
        </w:rPr>
        <w:t>constitutionnelle</w:t>
      </w:r>
      <w:proofErr w:type="spellEnd"/>
      <w:r w:rsidR="00F92AC1">
        <w:t>). Domestic law cannot erect barriers in the form of immunities</w:t>
      </w:r>
      <w:r w:rsidR="00CD61E9">
        <w:t>,</w:t>
      </w:r>
      <w:r w:rsidR="00F92AC1">
        <w:t xml:space="preserve"> jurisdictional limitations, procedural hurdles or defences based on an </w:t>
      </w:r>
      <w:r w:rsidR="00CD61E9">
        <w:t>A</w:t>
      </w:r>
      <w:r w:rsidR="00F92AC1">
        <w:t xml:space="preserve">ct of </w:t>
      </w:r>
      <w:r w:rsidR="00CD61E9">
        <w:t>S</w:t>
      </w:r>
      <w:r w:rsidR="00F92AC1">
        <w:t>tate doctrine that would limit the effectiveness of international law.</w:t>
      </w:r>
      <w:r w:rsidR="00CE0EF5">
        <w:t xml:space="preserve"> </w:t>
      </w:r>
      <w:r w:rsidR="00F92AC1">
        <w:t xml:space="preserve">One basis for jurisdiction is the exercise of control over individuals, and under international law it exists whenever an act attributable in the widest sense to a </w:t>
      </w:r>
      <w:r w:rsidR="008C727D">
        <w:t>S</w:t>
      </w:r>
      <w:r w:rsidR="00F92AC1">
        <w:t xml:space="preserve">tate has an adverse effect on anyone anywhere in the world. </w:t>
      </w:r>
      <w:r w:rsidR="00245C60">
        <w:t>Article </w:t>
      </w:r>
      <w:r w:rsidR="00F92AC1">
        <w:t>8 of the Universal Declaration of Human Rights provides that everyone has the right to an effective remedy by the competent national tribunals for acts violating the fundamental rights granted him by the constitution or by law</w:t>
      </w:r>
      <w:r w:rsidR="00CD61E9">
        <w:t>.</w:t>
      </w:r>
      <w:r w:rsidR="00F92AC1">
        <w:t xml:space="preserve"> </w:t>
      </w:r>
      <w:r w:rsidR="00CD61E9">
        <w:t>A</w:t>
      </w:r>
      <w:r w:rsidR="00245C60">
        <w:t>rticle </w:t>
      </w:r>
      <w:r w:rsidR="00F92AC1">
        <w:t>9</w:t>
      </w:r>
      <w:r w:rsidR="00CD61E9">
        <w:t> </w:t>
      </w:r>
      <w:r w:rsidR="00F92AC1">
        <w:t>(5) of the International Covenant on Civil and Political Rights</w:t>
      </w:r>
      <w:r w:rsidR="00C41E5B">
        <w:t xml:space="preserve"> refers to an enforceable right to compensation for unlawful arrest and detention,</w:t>
      </w:r>
      <w:r w:rsidR="00F92AC1">
        <w:t xml:space="preserve"> and </w:t>
      </w:r>
      <w:r w:rsidR="00245C60">
        <w:t>article </w:t>
      </w:r>
      <w:r w:rsidR="00F92AC1">
        <w:t xml:space="preserve">14 of the </w:t>
      </w:r>
      <w:r w:rsidR="00CD61E9">
        <w:t>Convention against Torture and Other Cruel, Inhuman or Degrading Treatment or Punishment</w:t>
      </w:r>
      <w:r w:rsidR="00F92AC1">
        <w:t xml:space="preserve"> provides that each State </w:t>
      </w:r>
      <w:r w:rsidR="00C41E5B">
        <w:t>p</w:t>
      </w:r>
      <w:r w:rsidR="00F92AC1">
        <w:t>arty shall ensure in its legal system that the victim of an act of torture obtains redress and has an enforceable right to fair and adequate compensation</w:t>
      </w:r>
      <w:r w:rsidR="00C41E5B">
        <w:t>,</w:t>
      </w:r>
      <w:r w:rsidR="00F92AC1">
        <w:t xml:space="preserve"> including the means for as full rehabilitation as possible</w:t>
      </w:r>
      <w:r w:rsidR="00C41E5B">
        <w:t>, and that</w:t>
      </w:r>
      <w:r w:rsidR="00F92AC1">
        <w:t xml:space="preserve"> </w:t>
      </w:r>
      <w:r w:rsidR="00C41E5B">
        <w:t>i</w:t>
      </w:r>
      <w:r w:rsidR="00F92AC1">
        <w:t>n the event of the death of the victim as a result of an act of torture, his dependents shall be entitled to compensation.</w:t>
      </w:r>
    </w:p>
    <w:p w:rsidR="00F92AC1" w:rsidRDefault="0021743E" w:rsidP="0021743E">
      <w:pPr>
        <w:pStyle w:val="SingleTxtG"/>
      </w:pPr>
      <w:r>
        <w:rPr>
          <w:lang w:val="en-US"/>
        </w:rPr>
        <w:t>66.</w:t>
      </w:r>
      <w:r>
        <w:rPr>
          <w:lang w:val="en-US"/>
        </w:rPr>
        <w:tab/>
      </w:r>
      <w:r w:rsidR="00F92AC1">
        <w:t xml:space="preserve">The duty to provide such redress is confirmed as customary international law in the constant jurisprudence of the Working Group. The Working Group points out that the arguments raised and doctrines offered in defence against remedies have </w:t>
      </w:r>
      <w:r w:rsidR="00C41E5B">
        <w:t>to date</w:t>
      </w:r>
      <w:r w:rsidR="00F92AC1">
        <w:t xml:space="preserve"> been only too effective. In terms of actual outcomes, international courts and tribunals and domestic courts have not provided effective remedies. It is contrary to the rule of law and the requirements </w:t>
      </w:r>
      <w:r w:rsidR="00C41E5B">
        <w:t>of</w:t>
      </w:r>
      <w:r w:rsidR="00F92AC1">
        <w:t xml:space="preserve"> an effective international legal order to accept new restrictions</w:t>
      </w:r>
      <w:r w:rsidR="00C41E5B">
        <w:t xml:space="preserve"> that</w:t>
      </w:r>
      <w:r w:rsidR="00F92AC1">
        <w:t xml:space="preserve"> effectively bar remedies in domestic courts</w:t>
      </w:r>
      <w:r w:rsidR="00C41E5B">
        <w:t>,</w:t>
      </w:r>
      <w:r w:rsidR="00F92AC1">
        <w:t xml:space="preserve"> </w:t>
      </w:r>
      <w:r w:rsidR="00C41E5B">
        <w:t>since,</w:t>
      </w:r>
      <w:r w:rsidR="00F92AC1">
        <w:t xml:space="preserve"> under </w:t>
      </w:r>
      <w:r w:rsidR="00502E30">
        <w:t xml:space="preserve">the </w:t>
      </w:r>
      <w:r w:rsidR="00F92AC1">
        <w:t>international law principles of subsidiarity and complementary</w:t>
      </w:r>
      <w:r w:rsidR="00C41E5B">
        <w:t>,</w:t>
      </w:r>
      <w:r w:rsidR="00F92AC1">
        <w:t xml:space="preserve"> the domestic legal orders have the primary responsibility to provide remedies.</w:t>
      </w:r>
      <w:r w:rsidR="00CE0EF5">
        <w:t xml:space="preserve"> </w:t>
      </w:r>
    </w:p>
    <w:p w:rsidR="00F92AC1" w:rsidRDefault="0021743E" w:rsidP="0021743E">
      <w:pPr>
        <w:pStyle w:val="SingleTxtG"/>
      </w:pPr>
      <w:r>
        <w:rPr>
          <w:lang w:val="en-US"/>
        </w:rPr>
        <w:t>67.</w:t>
      </w:r>
      <w:r>
        <w:rPr>
          <w:lang w:val="en-US"/>
        </w:rPr>
        <w:tab/>
      </w:r>
      <w:r w:rsidR="00F92AC1" w:rsidRPr="00A43702">
        <w:t xml:space="preserve">The international law obligation to provide remedies is </w:t>
      </w:r>
      <w:r w:rsidR="00DA1E46" w:rsidRPr="00DA1E46">
        <w:t>fulfilled</w:t>
      </w:r>
      <w:r w:rsidR="00DA1E46">
        <w:t xml:space="preserve"> </w:t>
      </w:r>
      <w:r w:rsidR="00F92AC1" w:rsidRPr="00A43702">
        <w:t xml:space="preserve">primarily </w:t>
      </w:r>
      <w:r w:rsidR="00A43702" w:rsidRPr="004141C1">
        <w:t>through</w:t>
      </w:r>
      <w:r w:rsidR="00F92AC1" w:rsidRPr="00A43702">
        <w:t xml:space="preserve"> domestic law.</w:t>
      </w:r>
      <w:r w:rsidR="00F92AC1">
        <w:t xml:space="preserve"> Domestic authorities and </w:t>
      </w:r>
      <w:r w:rsidR="00D54E68">
        <w:t>S</w:t>
      </w:r>
      <w:r w:rsidR="00F92AC1">
        <w:t>tates have an obligation to apply tort law in compliance with international law</w:t>
      </w:r>
      <w:r w:rsidR="00D54E68">
        <w:t>,</w:t>
      </w:r>
      <w:r w:rsidR="00F92AC1">
        <w:t xml:space="preserve"> which provides minimum standards. The emerging jurisprudence of international </w:t>
      </w:r>
      <w:r w:rsidR="008C727D">
        <w:rPr>
          <w:lang w:val="en-US"/>
        </w:rPr>
        <w:t>courts</w:t>
      </w:r>
      <w:r w:rsidR="008C727D" w:rsidRPr="00E35007">
        <w:rPr>
          <w:rStyle w:val="FootnoteReference"/>
        </w:rPr>
        <w:footnoteReference w:id="19"/>
      </w:r>
      <w:r w:rsidR="008C727D" w:rsidRPr="001F713A">
        <w:rPr>
          <w:rStyle w:val="FootnoteReference"/>
          <w:sz w:val="20"/>
          <w:vertAlign w:val="baseline"/>
        </w:rPr>
        <w:t xml:space="preserve"> </w:t>
      </w:r>
      <w:r w:rsidR="00F92AC1">
        <w:t xml:space="preserve">and </w:t>
      </w:r>
      <w:r w:rsidR="00D54E68">
        <w:t xml:space="preserve">United Nations </w:t>
      </w:r>
      <w:r w:rsidR="00F92AC1">
        <w:t xml:space="preserve">human rights bodies </w:t>
      </w:r>
      <w:r w:rsidR="00D54E68">
        <w:t xml:space="preserve">provides </w:t>
      </w:r>
      <w:r w:rsidR="00F92AC1">
        <w:t>important sources of law or of declarations of the law.</w:t>
      </w:r>
      <w:r w:rsidR="00CE0EF5">
        <w:t xml:space="preserve"> </w:t>
      </w:r>
    </w:p>
    <w:p w:rsidR="00215F2E" w:rsidRPr="004141C1" w:rsidRDefault="00FE42C0">
      <w:pPr>
        <w:pStyle w:val="HChG"/>
      </w:pPr>
      <w:r w:rsidRPr="00177C81">
        <w:rPr>
          <w:color w:val="FF0000"/>
        </w:rPr>
        <w:tab/>
      </w:r>
      <w:r w:rsidRPr="007B25D6">
        <w:t>IV.</w:t>
      </w:r>
      <w:r w:rsidRPr="007B25D6">
        <w:tab/>
        <w:t>Conclusions</w:t>
      </w:r>
    </w:p>
    <w:p w:rsidR="00215F2E" w:rsidRPr="006A1FAC" w:rsidRDefault="0021743E" w:rsidP="0021743E">
      <w:pPr>
        <w:pStyle w:val="SingleTxtG"/>
        <w:rPr>
          <w:b/>
        </w:rPr>
      </w:pPr>
      <w:r w:rsidRPr="006A1FAC">
        <w:rPr>
          <w:lang w:val="en-US"/>
        </w:rPr>
        <w:t>68.</w:t>
      </w:r>
      <w:r w:rsidRPr="006A1FAC">
        <w:rPr>
          <w:lang w:val="en-US"/>
        </w:rPr>
        <w:tab/>
      </w:r>
      <w:r w:rsidR="00215F2E" w:rsidRPr="006A1FAC">
        <w:rPr>
          <w:b/>
        </w:rPr>
        <w:t xml:space="preserve">The Working Group welcomes the cooperation </w:t>
      </w:r>
      <w:r w:rsidR="00EC715D">
        <w:rPr>
          <w:b/>
        </w:rPr>
        <w:t>given by</w:t>
      </w:r>
      <w:r w:rsidR="00EC715D" w:rsidRPr="006A1FAC">
        <w:rPr>
          <w:b/>
        </w:rPr>
        <w:t xml:space="preserve"> </w:t>
      </w:r>
      <w:r w:rsidR="00215F2E" w:rsidRPr="006A1FAC">
        <w:rPr>
          <w:b/>
        </w:rPr>
        <w:t>States</w:t>
      </w:r>
      <w:r w:rsidR="009A1958" w:rsidRPr="009A1958">
        <w:rPr>
          <w:b/>
        </w:rPr>
        <w:t xml:space="preserve"> in the fulfilment of its mandate,</w:t>
      </w:r>
      <w:r w:rsidR="009A1958">
        <w:rPr>
          <w:b/>
        </w:rPr>
        <w:t xml:space="preserve"> in particular </w:t>
      </w:r>
      <w:r w:rsidR="00215F2E" w:rsidRPr="006A1FAC">
        <w:rPr>
          <w:b/>
        </w:rPr>
        <w:t xml:space="preserve">with regard to the responses </w:t>
      </w:r>
      <w:r w:rsidR="00EC715D">
        <w:rPr>
          <w:b/>
        </w:rPr>
        <w:t>from</w:t>
      </w:r>
      <w:r w:rsidR="00215F2E" w:rsidRPr="006A1FAC">
        <w:rPr>
          <w:b/>
        </w:rPr>
        <w:t xml:space="preserve"> Governments concerning cases brought to their attention under </w:t>
      </w:r>
      <w:r w:rsidR="00EC715D">
        <w:rPr>
          <w:b/>
        </w:rPr>
        <w:t>the Working Group’s</w:t>
      </w:r>
      <w:r w:rsidR="00215F2E" w:rsidRPr="006A1FAC">
        <w:rPr>
          <w:b/>
        </w:rPr>
        <w:t xml:space="preserve"> regular procedure. During 201</w:t>
      </w:r>
      <w:r w:rsidR="00C9483D" w:rsidRPr="006A1FAC">
        <w:rPr>
          <w:b/>
        </w:rPr>
        <w:t>4</w:t>
      </w:r>
      <w:r w:rsidR="00215F2E" w:rsidRPr="006A1FAC">
        <w:rPr>
          <w:b/>
        </w:rPr>
        <w:t>, the Working Group adopted</w:t>
      </w:r>
      <w:r w:rsidR="002658D8" w:rsidRPr="006A1FAC">
        <w:rPr>
          <w:b/>
        </w:rPr>
        <w:t xml:space="preserve"> </w:t>
      </w:r>
      <w:r w:rsidR="00C9483D" w:rsidRPr="006A1FAC">
        <w:rPr>
          <w:b/>
        </w:rPr>
        <w:t>57</w:t>
      </w:r>
      <w:r w:rsidR="00215F2E" w:rsidRPr="006A1FAC">
        <w:rPr>
          <w:b/>
        </w:rPr>
        <w:t xml:space="preserve"> </w:t>
      </w:r>
      <w:r w:rsidR="00555797" w:rsidRPr="006A1FAC">
        <w:rPr>
          <w:b/>
        </w:rPr>
        <w:t>o</w:t>
      </w:r>
      <w:r w:rsidR="00215F2E" w:rsidRPr="006A1FAC">
        <w:rPr>
          <w:b/>
        </w:rPr>
        <w:t xml:space="preserve">pinions concerning </w:t>
      </w:r>
      <w:r w:rsidR="009C7868" w:rsidRPr="006A1FAC">
        <w:rPr>
          <w:b/>
        </w:rPr>
        <w:t xml:space="preserve">422 </w:t>
      </w:r>
      <w:r w:rsidR="00215F2E" w:rsidRPr="006A1FAC">
        <w:rPr>
          <w:b/>
        </w:rPr>
        <w:t xml:space="preserve">persons in </w:t>
      </w:r>
      <w:r w:rsidR="009C7868" w:rsidRPr="006A1FAC">
        <w:rPr>
          <w:b/>
        </w:rPr>
        <w:t xml:space="preserve">30 </w:t>
      </w:r>
      <w:r w:rsidR="00215F2E" w:rsidRPr="006A1FAC">
        <w:rPr>
          <w:b/>
        </w:rPr>
        <w:t xml:space="preserve">countries. It also sent </w:t>
      </w:r>
      <w:r w:rsidR="009C7868" w:rsidRPr="00026542">
        <w:rPr>
          <w:b/>
        </w:rPr>
        <w:t>13</w:t>
      </w:r>
      <w:r w:rsidR="00026542">
        <w:rPr>
          <w:b/>
        </w:rPr>
        <w:t>6</w:t>
      </w:r>
      <w:r w:rsidR="009C7868" w:rsidRPr="006A1FAC">
        <w:rPr>
          <w:b/>
        </w:rPr>
        <w:t xml:space="preserve"> </w:t>
      </w:r>
      <w:r w:rsidR="00215F2E" w:rsidRPr="006A1FAC">
        <w:rPr>
          <w:b/>
        </w:rPr>
        <w:t xml:space="preserve">urgent appeals to </w:t>
      </w:r>
      <w:r w:rsidR="009C7868" w:rsidRPr="006A1FAC">
        <w:rPr>
          <w:b/>
        </w:rPr>
        <w:t>48</w:t>
      </w:r>
      <w:r w:rsidR="00215F2E" w:rsidRPr="006A1FAC">
        <w:rPr>
          <w:b/>
        </w:rPr>
        <w:t xml:space="preserve"> </w:t>
      </w:r>
      <w:r w:rsidR="00026542">
        <w:rPr>
          <w:b/>
        </w:rPr>
        <w:t>Governments</w:t>
      </w:r>
      <w:r w:rsidR="00026542" w:rsidRPr="006A1FAC">
        <w:rPr>
          <w:b/>
        </w:rPr>
        <w:t xml:space="preserve"> </w:t>
      </w:r>
      <w:r w:rsidR="00215F2E" w:rsidRPr="006A1FAC">
        <w:rPr>
          <w:b/>
        </w:rPr>
        <w:t xml:space="preserve">concerning </w:t>
      </w:r>
      <w:r w:rsidR="009C7868" w:rsidRPr="006A1FAC">
        <w:rPr>
          <w:b/>
        </w:rPr>
        <w:t>435</w:t>
      </w:r>
      <w:r w:rsidR="00351B0A" w:rsidRPr="006A1FAC">
        <w:rPr>
          <w:b/>
        </w:rPr>
        <w:t xml:space="preserve"> persons</w:t>
      </w:r>
      <w:r w:rsidR="002658D8" w:rsidRPr="006A1FAC">
        <w:rPr>
          <w:b/>
        </w:rPr>
        <w:t>.</w:t>
      </w:r>
    </w:p>
    <w:p w:rsidR="00215F2E" w:rsidRPr="006A1FAC" w:rsidRDefault="0021743E" w:rsidP="0021743E">
      <w:pPr>
        <w:pStyle w:val="SingleTxtG"/>
        <w:rPr>
          <w:b/>
        </w:rPr>
      </w:pPr>
      <w:r w:rsidRPr="006A1FAC">
        <w:rPr>
          <w:lang w:val="en-US"/>
        </w:rPr>
        <w:t>69.</w:t>
      </w:r>
      <w:r w:rsidRPr="006A1FAC">
        <w:rPr>
          <w:lang w:val="en-US"/>
        </w:rPr>
        <w:tab/>
      </w:r>
      <w:r w:rsidR="00215F2E" w:rsidRPr="006A1FAC">
        <w:rPr>
          <w:b/>
        </w:rPr>
        <w:t xml:space="preserve">The Working Group welcomes the invitations extended to it to pay </w:t>
      </w:r>
      <w:r w:rsidR="00D80F4B" w:rsidRPr="006A1FAC">
        <w:rPr>
          <w:b/>
        </w:rPr>
        <w:t xml:space="preserve">official </w:t>
      </w:r>
      <w:r w:rsidR="00215F2E" w:rsidRPr="006A1FAC">
        <w:rPr>
          <w:b/>
        </w:rPr>
        <w:t xml:space="preserve">visits to countries. </w:t>
      </w:r>
      <w:r w:rsidR="004E5EBC">
        <w:rPr>
          <w:b/>
        </w:rPr>
        <w:t>In 2014 i</w:t>
      </w:r>
      <w:r w:rsidR="00EC715D">
        <w:rPr>
          <w:b/>
        </w:rPr>
        <w:t>t</w:t>
      </w:r>
      <w:r w:rsidR="00215F2E" w:rsidRPr="006A1FAC">
        <w:rPr>
          <w:b/>
        </w:rPr>
        <w:t xml:space="preserve"> conducted </w:t>
      </w:r>
      <w:r w:rsidR="00C9483D" w:rsidRPr="006A1FAC">
        <w:rPr>
          <w:b/>
        </w:rPr>
        <w:t xml:space="preserve">an </w:t>
      </w:r>
      <w:r w:rsidR="00215F2E" w:rsidRPr="006A1FAC">
        <w:rPr>
          <w:b/>
        </w:rPr>
        <w:t>official visit to</w:t>
      </w:r>
      <w:r w:rsidR="00E23CD0" w:rsidRPr="006A1FAC">
        <w:rPr>
          <w:b/>
        </w:rPr>
        <w:t xml:space="preserve"> New Zealand, a</w:t>
      </w:r>
      <w:r w:rsidR="004E5EBC">
        <w:rPr>
          <w:b/>
        </w:rPr>
        <w:t>s well as</w:t>
      </w:r>
      <w:r w:rsidR="00E23CD0" w:rsidRPr="006A1FAC">
        <w:rPr>
          <w:b/>
        </w:rPr>
        <w:t xml:space="preserve"> follow-up visit</w:t>
      </w:r>
      <w:r w:rsidR="004E5EBC">
        <w:rPr>
          <w:b/>
        </w:rPr>
        <w:t>s</w:t>
      </w:r>
      <w:r w:rsidR="00E23CD0" w:rsidRPr="006A1FAC">
        <w:rPr>
          <w:b/>
        </w:rPr>
        <w:t xml:space="preserve"> to Italy and to Germany. T</w:t>
      </w:r>
      <w:r w:rsidR="00215F2E" w:rsidRPr="006A1FAC">
        <w:rPr>
          <w:b/>
        </w:rPr>
        <w:t>he Working Group has received invitations from the Governments of Argentina (follow-up visit)</w:t>
      </w:r>
      <w:r w:rsidR="0036787B">
        <w:rPr>
          <w:b/>
        </w:rPr>
        <w:t>,</w:t>
      </w:r>
      <w:r w:rsidR="00215F2E" w:rsidRPr="006A1FAC">
        <w:rPr>
          <w:b/>
        </w:rPr>
        <w:t xml:space="preserve"> Azerbaijan</w:t>
      </w:r>
      <w:r w:rsidR="0036787B">
        <w:rPr>
          <w:b/>
        </w:rPr>
        <w:t>,</w:t>
      </w:r>
      <w:r w:rsidR="00BD5E6E">
        <w:rPr>
          <w:b/>
        </w:rPr>
        <w:t xml:space="preserve"> </w:t>
      </w:r>
      <w:r w:rsidR="00215F2E" w:rsidRPr="006A1FAC">
        <w:rPr>
          <w:b/>
        </w:rPr>
        <w:t>Burkina Faso</w:t>
      </w:r>
      <w:r w:rsidR="0036787B">
        <w:rPr>
          <w:b/>
        </w:rPr>
        <w:t>,</w:t>
      </w:r>
      <w:r w:rsidR="00215F2E" w:rsidRPr="006A1FAC">
        <w:rPr>
          <w:b/>
        </w:rPr>
        <w:t xml:space="preserve"> India</w:t>
      </w:r>
      <w:r w:rsidR="0036787B">
        <w:rPr>
          <w:b/>
        </w:rPr>
        <w:t>,</w:t>
      </w:r>
      <w:r w:rsidR="00D80F4B" w:rsidRPr="006A1FAC">
        <w:rPr>
          <w:b/>
        </w:rPr>
        <w:t xml:space="preserve"> </w:t>
      </w:r>
      <w:r w:rsidR="00215F2E" w:rsidRPr="006A1FAC">
        <w:rPr>
          <w:b/>
        </w:rPr>
        <w:t>Japan</w:t>
      </w:r>
      <w:r w:rsidR="0036787B">
        <w:rPr>
          <w:b/>
        </w:rPr>
        <w:t>,</w:t>
      </w:r>
      <w:r w:rsidR="00215F2E" w:rsidRPr="006A1FAC">
        <w:rPr>
          <w:b/>
        </w:rPr>
        <w:t xml:space="preserve"> Libya</w:t>
      </w:r>
      <w:r w:rsidR="0036787B">
        <w:rPr>
          <w:b/>
        </w:rPr>
        <w:t>,</w:t>
      </w:r>
      <w:r w:rsidR="00215F2E" w:rsidRPr="006A1FAC">
        <w:rPr>
          <w:b/>
        </w:rPr>
        <w:t xml:space="preserve"> </w:t>
      </w:r>
      <w:r w:rsidR="00D80F4B" w:rsidRPr="006A1FAC">
        <w:rPr>
          <w:b/>
        </w:rPr>
        <w:t>Malta</w:t>
      </w:r>
      <w:r w:rsidR="00E23CD0" w:rsidRPr="006A1FAC">
        <w:rPr>
          <w:b/>
        </w:rPr>
        <w:t xml:space="preserve"> (follow-up visit)</w:t>
      </w:r>
      <w:r w:rsidR="00D80F4B" w:rsidRPr="006A1FAC">
        <w:rPr>
          <w:b/>
        </w:rPr>
        <w:t>, Nauru</w:t>
      </w:r>
      <w:r w:rsidR="0036787B">
        <w:rPr>
          <w:b/>
        </w:rPr>
        <w:t>,</w:t>
      </w:r>
      <w:r w:rsidR="0084098D">
        <w:rPr>
          <w:b/>
        </w:rPr>
        <w:t xml:space="preserve"> </w:t>
      </w:r>
      <w:r w:rsidR="00215F2E" w:rsidRPr="006A1FAC">
        <w:rPr>
          <w:b/>
        </w:rPr>
        <w:t>Spain and the United States of America</w:t>
      </w:r>
      <w:r w:rsidR="004E5EBC">
        <w:rPr>
          <w:b/>
        </w:rPr>
        <w:t xml:space="preserve">, as well as from the Government of the State of </w:t>
      </w:r>
      <w:r w:rsidR="004E5EBC" w:rsidRPr="004E5EBC">
        <w:rPr>
          <w:b/>
        </w:rPr>
        <w:t>Palestine</w:t>
      </w:r>
      <w:r w:rsidR="00215F2E" w:rsidRPr="006A1FAC">
        <w:rPr>
          <w:b/>
        </w:rPr>
        <w:t xml:space="preserve">. It has also requested to be invited to </w:t>
      </w:r>
      <w:r w:rsidR="00555797" w:rsidRPr="006A1FAC">
        <w:rPr>
          <w:b/>
        </w:rPr>
        <w:t xml:space="preserve">an </w:t>
      </w:r>
      <w:r w:rsidR="00E85A77" w:rsidRPr="006A1FAC">
        <w:rPr>
          <w:b/>
        </w:rPr>
        <w:t xml:space="preserve">additional </w:t>
      </w:r>
      <w:r w:rsidR="009C7868" w:rsidRPr="006A1FAC">
        <w:rPr>
          <w:b/>
        </w:rPr>
        <w:t>35</w:t>
      </w:r>
      <w:r w:rsidR="00E23CD0" w:rsidRPr="006A1FAC">
        <w:rPr>
          <w:b/>
        </w:rPr>
        <w:t xml:space="preserve"> </w:t>
      </w:r>
      <w:r w:rsidR="00215F2E" w:rsidRPr="006A1FAC">
        <w:rPr>
          <w:b/>
        </w:rPr>
        <w:t>countries.</w:t>
      </w:r>
    </w:p>
    <w:p w:rsidR="00215F2E" w:rsidRPr="006A1FAC" w:rsidRDefault="0021743E" w:rsidP="0021743E">
      <w:pPr>
        <w:pStyle w:val="SingleTxtG"/>
        <w:rPr>
          <w:b/>
        </w:rPr>
      </w:pPr>
      <w:r w:rsidRPr="006A1FAC">
        <w:rPr>
          <w:lang w:val="en-US"/>
        </w:rPr>
        <w:t>70.</w:t>
      </w:r>
      <w:r w:rsidRPr="006A1FAC">
        <w:rPr>
          <w:lang w:val="en-US"/>
        </w:rPr>
        <w:tab/>
      </w:r>
      <w:r w:rsidR="00215F2E" w:rsidRPr="006A1FAC">
        <w:rPr>
          <w:b/>
        </w:rPr>
        <w:t>The Working Group reiterates tha</w:t>
      </w:r>
      <w:r w:rsidR="005525DA" w:rsidRPr="006A1FAC">
        <w:rPr>
          <w:b/>
        </w:rPr>
        <w:t>t</w:t>
      </w:r>
      <w:r w:rsidR="00215F2E" w:rsidRPr="006A1FAC">
        <w:rPr>
          <w:b/>
        </w:rPr>
        <w:t xml:space="preserve"> timely responses to its letters of allegations under its regular procedure with full disclosure from </w:t>
      </w:r>
      <w:r w:rsidR="00215F2E" w:rsidRPr="00602D9D">
        <w:rPr>
          <w:b/>
        </w:rPr>
        <w:t>Member</w:t>
      </w:r>
      <w:r w:rsidR="00215F2E" w:rsidRPr="006A1FAC">
        <w:rPr>
          <w:b/>
        </w:rPr>
        <w:t xml:space="preserve"> States furthers the cause of objectivity in rendering the Working Group’s </w:t>
      </w:r>
      <w:r w:rsidR="004E5EBC">
        <w:rPr>
          <w:b/>
        </w:rPr>
        <w:t>o</w:t>
      </w:r>
      <w:r w:rsidR="00215F2E" w:rsidRPr="006A1FAC">
        <w:rPr>
          <w:b/>
        </w:rPr>
        <w:t xml:space="preserve">pinions. The Working Group regrets that, in some cases, Governments </w:t>
      </w:r>
      <w:r w:rsidR="006C4D61" w:rsidRPr="006A1FAC">
        <w:rPr>
          <w:b/>
        </w:rPr>
        <w:t xml:space="preserve">do not provide responses, </w:t>
      </w:r>
      <w:r w:rsidR="00215F2E" w:rsidRPr="006A1FAC">
        <w:rPr>
          <w:b/>
        </w:rPr>
        <w:t>limit their replies to general information</w:t>
      </w:r>
      <w:r w:rsidR="004E5EBC">
        <w:rPr>
          <w:b/>
        </w:rPr>
        <w:t>,</w:t>
      </w:r>
      <w:r w:rsidR="00215F2E" w:rsidRPr="006A1FAC">
        <w:rPr>
          <w:b/>
        </w:rPr>
        <w:t xml:space="preserve"> merely affirm the non-existence of arbitrary detention in the country or refer to the constitutional norms preventing </w:t>
      </w:r>
      <w:r w:rsidR="00542374" w:rsidRPr="006A1FAC">
        <w:rPr>
          <w:b/>
        </w:rPr>
        <w:t>arbitrary detention</w:t>
      </w:r>
      <w:r w:rsidR="00215F2E" w:rsidRPr="006A1FAC">
        <w:rPr>
          <w:b/>
        </w:rPr>
        <w:t xml:space="preserve"> from occurring, without making direct references to the specific allegations tr</w:t>
      </w:r>
      <w:r w:rsidR="00351B0A" w:rsidRPr="006A1FAC">
        <w:rPr>
          <w:b/>
        </w:rPr>
        <w:t>ansmitted.</w:t>
      </w:r>
    </w:p>
    <w:p w:rsidR="00E23CD0" w:rsidRPr="006A1FAC" w:rsidRDefault="0021743E" w:rsidP="0021743E">
      <w:pPr>
        <w:pStyle w:val="SingleTxtG"/>
        <w:rPr>
          <w:b/>
        </w:rPr>
      </w:pPr>
      <w:r w:rsidRPr="006A1FAC">
        <w:rPr>
          <w:lang w:val="en-US"/>
        </w:rPr>
        <w:t>71.</w:t>
      </w:r>
      <w:r w:rsidRPr="006A1FAC">
        <w:rPr>
          <w:lang w:val="en-US"/>
        </w:rPr>
        <w:tab/>
      </w:r>
      <w:r w:rsidR="00AA124A" w:rsidRPr="006A1FAC">
        <w:rPr>
          <w:b/>
        </w:rPr>
        <w:t>In</w:t>
      </w:r>
      <w:r w:rsidR="00555797" w:rsidRPr="006A1FAC">
        <w:rPr>
          <w:b/>
        </w:rPr>
        <w:t xml:space="preserve"> its</w:t>
      </w:r>
      <w:r w:rsidR="00AA124A" w:rsidRPr="006A1FAC">
        <w:rPr>
          <w:b/>
        </w:rPr>
        <w:t xml:space="preserve"> </w:t>
      </w:r>
      <w:r w:rsidR="004E5EBC">
        <w:rPr>
          <w:b/>
        </w:rPr>
        <w:t>d</w:t>
      </w:r>
      <w:r w:rsidR="00AA124A" w:rsidRPr="006A1FAC">
        <w:rPr>
          <w:b/>
        </w:rPr>
        <w:t>eliberation</w:t>
      </w:r>
      <w:r w:rsidR="00C71C14">
        <w:rPr>
          <w:b/>
        </w:rPr>
        <w:t xml:space="preserve"> No. </w:t>
      </w:r>
      <w:r w:rsidR="00AA124A" w:rsidRPr="006A1FAC">
        <w:rPr>
          <w:b/>
        </w:rPr>
        <w:t>9</w:t>
      </w:r>
      <w:r w:rsidR="00555797" w:rsidRPr="006A1FAC">
        <w:rPr>
          <w:b/>
        </w:rPr>
        <w:t xml:space="preserve"> concer</w:t>
      </w:r>
      <w:r w:rsidR="00C11777" w:rsidRPr="006A1FAC">
        <w:rPr>
          <w:b/>
        </w:rPr>
        <w:t>ning the definition and scope of</w:t>
      </w:r>
      <w:r w:rsidR="00555797" w:rsidRPr="006A1FAC">
        <w:rPr>
          <w:b/>
        </w:rPr>
        <w:t xml:space="preserve"> arbitrary deprivation of liberty under customary international law</w:t>
      </w:r>
      <w:r w:rsidR="00AA124A" w:rsidRPr="006A1FAC">
        <w:rPr>
          <w:b/>
        </w:rPr>
        <w:t xml:space="preserve"> (</w:t>
      </w:r>
      <w:r w:rsidR="004E5EBC">
        <w:rPr>
          <w:b/>
        </w:rPr>
        <w:t xml:space="preserve">see </w:t>
      </w:r>
      <w:r w:rsidR="00AA124A" w:rsidRPr="006A1FAC">
        <w:rPr>
          <w:b/>
        </w:rPr>
        <w:t>A/HRC/22/44</w:t>
      </w:r>
      <w:r w:rsidR="00555797" w:rsidRPr="006A1FAC">
        <w:rPr>
          <w:b/>
        </w:rPr>
        <w:t xml:space="preserve">, </w:t>
      </w:r>
      <w:r w:rsidR="004E5EBC">
        <w:rPr>
          <w:b/>
        </w:rPr>
        <w:t>sect</w:t>
      </w:r>
      <w:r w:rsidR="00555797" w:rsidRPr="006A1FAC">
        <w:rPr>
          <w:b/>
        </w:rPr>
        <w:t>.</w:t>
      </w:r>
      <w:r w:rsidR="00E7569B">
        <w:rPr>
          <w:b/>
        </w:rPr>
        <w:t> </w:t>
      </w:r>
      <w:r w:rsidR="00555797" w:rsidRPr="006A1FAC">
        <w:rPr>
          <w:b/>
        </w:rPr>
        <w:t>III</w:t>
      </w:r>
      <w:r w:rsidR="00AA124A" w:rsidRPr="006A1FAC">
        <w:rPr>
          <w:b/>
        </w:rPr>
        <w:t>)</w:t>
      </w:r>
      <w:r w:rsidR="00555797" w:rsidRPr="006A1FAC">
        <w:rPr>
          <w:b/>
        </w:rPr>
        <w:t>,</w:t>
      </w:r>
      <w:r w:rsidR="00AA124A" w:rsidRPr="006A1FAC">
        <w:rPr>
          <w:b/>
        </w:rPr>
        <w:t xml:space="preserve"> the Working Group restated its constant jurisprudence on the prohibition of all forms of arbitrary deprivation of liberty, and demonstrated that it is general practice accepted as law, constituting customary international law and a peremptory norm (</w:t>
      </w:r>
      <w:r w:rsidR="00AA124A" w:rsidRPr="004141C1">
        <w:rPr>
          <w:b/>
          <w:i/>
          <w:iCs/>
        </w:rPr>
        <w:t xml:space="preserve">jus </w:t>
      </w:r>
      <w:proofErr w:type="spellStart"/>
      <w:r w:rsidR="00AA124A" w:rsidRPr="004141C1">
        <w:rPr>
          <w:b/>
          <w:i/>
          <w:iCs/>
        </w:rPr>
        <w:t>cogens</w:t>
      </w:r>
      <w:proofErr w:type="spellEnd"/>
      <w:r w:rsidR="00AA124A" w:rsidRPr="006A1FAC">
        <w:rPr>
          <w:b/>
        </w:rPr>
        <w:t xml:space="preserve">). </w:t>
      </w:r>
    </w:p>
    <w:p w:rsidR="00E23CD0" w:rsidRDefault="0021743E" w:rsidP="0021743E">
      <w:pPr>
        <w:pStyle w:val="SingleTxtG"/>
        <w:rPr>
          <w:b/>
        </w:rPr>
      </w:pPr>
      <w:r>
        <w:rPr>
          <w:lang w:val="en-US"/>
        </w:rPr>
        <w:t>72.</w:t>
      </w:r>
      <w:r>
        <w:rPr>
          <w:lang w:val="en-US"/>
        </w:rPr>
        <w:tab/>
      </w:r>
      <w:r w:rsidR="00AA124A" w:rsidRPr="006A1FAC">
        <w:rPr>
          <w:b/>
        </w:rPr>
        <w:t xml:space="preserve">The prohibition of arbitrary deprivation of liberty applies without territorial limitations, and </w:t>
      </w:r>
      <w:r w:rsidR="00213A28" w:rsidRPr="006A1FAC">
        <w:rPr>
          <w:b/>
        </w:rPr>
        <w:t xml:space="preserve">to </w:t>
      </w:r>
      <w:r w:rsidR="00AA124A" w:rsidRPr="006A1FAC">
        <w:rPr>
          <w:b/>
        </w:rPr>
        <w:t>the duties o</w:t>
      </w:r>
      <w:r w:rsidR="0052591C">
        <w:rPr>
          <w:b/>
        </w:rPr>
        <w:t>f</w:t>
      </w:r>
      <w:r w:rsidR="00AA124A" w:rsidRPr="006A1FAC">
        <w:rPr>
          <w:b/>
        </w:rPr>
        <w:t xml:space="preserve"> </w:t>
      </w:r>
      <w:r w:rsidR="00E672CE" w:rsidRPr="006A1FAC">
        <w:rPr>
          <w:b/>
        </w:rPr>
        <w:t>S</w:t>
      </w:r>
      <w:r w:rsidR="00AA124A" w:rsidRPr="006A1FAC">
        <w:rPr>
          <w:b/>
        </w:rPr>
        <w:t xml:space="preserve">tates where they have effective control and for acts by their agents abroad. International law does not accept </w:t>
      </w:r>
      <w:r w:rsidR="0052591C">
        <w:rPr>
          <w:b/>
        </w:rPr>
        <w:t>A</w:t>
      </w:r>
      <w:r w:rsidR="00AA124A" w:rsidRPr="006A1FAC">
        <w:rPr>
          <w:b/>
        </w:rPr>
        <w:t xml:space="preserve">ct of </w:t>
      </w:r>
      <w:r w:rsidR="0052591C">
        <w:rPr>
          <w:b/>
        </w:rPr>
        <w:t>S</w:t>
      </w:r>
      <w:r w:rsidR="00AA124A" w:rsidRPr="006A1FAC">
        <w:rPr>
          <w:b/>
        </w:rPr>
        <w:t xml:space="preserve">tate limitations on human rights obligations. In the interactive dialogue </w:t>
      </w:r>
      <w:r w:rsidR="0052591C">
        <w:rPr>
          <w:b/>
        </w:rPr>
        <w:t xml:space="preserve">at </w:t>
      </w:r>
      <w:r w:rsidR="00AA124A" w:rsidRPr="006A1FAC">
        <w:rPr>
          <w:b/>
        </w:rPr>
        <w:t xml:space="preserve">the </w:t>
      </w:r>
      <w:r w:rsidR="0052591C">
        <w:rPr>
          <w:b/>
        </w:rPr>
        <w:t>twenty-second</w:t>
      </w:r>
      <w:r w:rsidR="0052591C" w:rsidRPr="006A1FAC">
        <w:rPr>
          <w:b/>
        </w:rPr>
        <w:t xml:space="preserve"> </w:t>
      </w:r>
      <w:r w:rsidR="00AA124A" w:rsidRPr="006A1FAC">
        <w:rPr>
          <w:b/>
        </w:rPr>
        <w:t>session of the Human Rights Council</w:t>
      </w:r>
      <w:r w:rsidR="00E672CE" w:rsidRPr="006A1FAC">
        <w:rPr>
          <w:b/>
        </w:rPr>
        <w:t>,</w:t>
      </w:r>
      <w:r w:rsidR="00AA124A" w:rsidRPr="006A1FAC">
        <w:rPr>
          <w:b/>
        </w:rPr>
        <w:t xml:space="preserve"> </w:t>
      </w:r>
      <w:r w:rsidR="00E672CE" w:rsidRPr="006A1FAC">
        <w:rPr>
          <w:b/>
        </w:rPr>
        <w:t>S</w:t>
      </w:r>
      <w:r w:rsidR="00AA124A" w:rsidRPr="006A1FAC">
        <w:rPr>
          <w:b/>
        </w:rPr>
        <w:t xml:space="preserve">tates gave general support for the conclusions in the </w:t>
      </w:r>
      <w:r w:rsidR="00E672CE" w:rsidRPr="006A1FAC">
        <w:rPr>
          <w:b/>
        </w:rPr>
        <w:t>d</w:t>
      </w:r>
      <w:r w:rsidR="00AA124A" w:rsidRPr="006A1FAC">
        <w:rPr>
          <w:b/>
        </w:rPr>
        <w:t xml:space="preserve">eliberation. </w:t>
      </w:r>
    </w:p>
    <w:p w:rsidR="00AA124A" w:rsidRDefault="0021743E" w:rsidP="0021743E">
      <w:pPr>
        <w:pStyle w:val="SingleTxtG"/>
        <w:rPr>
          <w:b/>
        </w:rPr>
      </w:pPr>
      <w:r>
        <w:rPr>
          <w:lang w:val="en-US"/>
        </w:rPr>
        <w:t>73.</w:t>
      </w:r>
      <w:r>
        <w:rPr>
          <w:lang w:val="en-US"/>
        </w:rPr>
        <w:tab/>
      </w:r>
      <w:r w:rsidR="00AA124A" w:rsidRPr="006A1FAC">
        <w:rPr>
          <w:b/>
        </w:rPr>
        <w:t xml:space="preserve">In </w:t>
      </w:r>
      <w:r w:rsidR="00E672CE" w:rsidRPr="006A1FAC">
        <w:rPr>
          <w:b/>
        </w:rPr>
        <w:t xml:space="preserve">its </w:t>
      </w:r>
      <w:r w:rsidR="00AA124A" w:rsidRPr="006A1FAC">
        <w:rPr>
          <w:b/>
        </w:rPr>
        <w:t>resolution 20/16</w:t>
      </w:r>
      <w:r w:rsidR="001E0B7B" w:rsidRPr="006A1FAC">
        <w:rPr>
          <w:b/>
        </w:rPr>
        <w:t>,</w:t>
      </w:r>
      <w:r w:rsidR="00AA124A" w:rsidRPr="006A1FAC">
        <w:rPr>
          <w:b/>
        </w:rPr>
        <w:t xml:space="preserve"> the </w:t>
      </w:r>
      <w:r w:rsidR="0052591C">
        <w:rPr>
          <w:b/>
        </w:rPr>
        <w:t xml:space="preserve">Human Rights </w:t>
      </w:r>
      <w:r w:rsidR="00AA124A" w:rsidRPr="006A1FAC">
        <w:rPr>
          <w:b/>
        </w:rPr>
        <w:t>Council encouraged all States to respect and promote the</w:t>
      </w:r>
      <w:r w:rsidR="009C7868" w:rsidRPr="006A1FAC">
        <w:rPr>
          <w:b/>
        </w:rPr>
        <w:t xml:space="preserve"> </w:t>
      </w:r>
      <w:r w:rsidR="004F2D38" w:rsidRPr="006A1FAC">
        <w:rPr>
          <w:b/>
        </w:rPr>
        <w:t xml:space="preserve">right of anyone deprived of his or her liberty by arrest or detention to bring proceedings before court, in order that the court may decide without delay on the lawfulness of his or her detention and order his or her release if the detention </w:t>
      </w:r>
      <w:r w:rsidR="0052591C">
        <w:rPr>
          <w:b/>
        </w:rPr>
        <w:t>wa</w:t>
      </w:r>
      <w:r w:rsidR="004F2D38" w:rsidRPr="006A1FAC">
        <w:rPr>
          <w:b/>
        </w:rPr>
        <w:t>s not lawful</w:t>
      </w:r>
      <w:r w:rsidR="00AA124A" w:rsidRPr="006A1FAC">
        <w:rPr>
          <w:b/>
        </w:rPr>
        <w:t>, in accordance with their international obligations</w:t>
      </w:r>
      <w:r w:rsidR="0052591C">
        <w:rPr>
          <w:b/>
        </w:rPr>
        <w:t>.</w:t>
      </w:r>
      <w:r w:rsidR="004F2D38" w:rsidRPr="006A1FAC">
        <w:rPr>
          <w:b/>
        </w:rPr>
        <w:t xml:space="preserve"> In a separate report</w:t>
      </w:r>
      <w:r w:rsidR="00DF1568">
        <w:rPr>
          <w:b/>
        </w:rPr>
        <w:t xml:space="preserve"> (</w:t>
      </w:r>
      <w:r w:rsidR="00DF1568" w:rsidRPr="00DF1568">
        <w:rPr>
          <w:b/>
        </w:rPr>
        <w:t>A/HRC/30/37</w:t>
      </w:r>
      <w:r w:rsidR="00DF1568">
        <w:rPr>
          <w:b/>
        </w:rPr>
        <w:t>)</w:t>
      </w:r>
      <w:r w:rsidR="004F2D38" w:rsidRPr="006A1FAC">
        <w:rPr>
          <w:b/>
        </w:rPr>
        <w:t xml:space="preserve">, the Working Group is submitting to the Human Rights Council the </w:t>
      </w:r>
      <w:r w:rsidR="00AA124A" w:rsidRPr="006A1FAC">
        <w:rPr>
          <w:b/>
        </w:rPr>
        <w:t xml:space="preserve">draft basic principles and guidelines </w:t>
      </w:r>
      <w:r w:rsidR="004F2D38" w:rsidRPr="006A1FAC">
        <w:rPr>
          <w:b/>
        </w:rPr>
        <w:t xml:space="preserve">on remedies and procedures relating to that right, adopted by the Working </w:t>
      </w:r>
      <w:r w:rsidR="0052591C">
        <w:rPr>
          <w:b/>
        </w:rPr>
        <w:t>G</w:t>
      </w:r>
      <w:r w:rsidR="004F2D38" w:rsidRPr="006A1FAC">
        <w:rPr>
          <w:b/>
        </w:rPr>
        <w:t xml:space="preserve">roup </w:t>
      </w:r>
      <w:r w:rsidR="0052591C">
        <w:rPr>
          <w:b/>
        </w:rPr>
        <w:t>at</w:t>
      </w:r>
      <w:r w:rsidR="0052591C" w:rsidRPr="006A1FAC">
        <w:rPr>
          <w:b/>
        </w:rPr>
        <w:t xml:space="preserve"> </w:t>
      </w:r>
      <w:r w:rsidR="004F2D38" w:rsidRPr="006A1FAC">
        <w:rPr>
          <w:b/>
        </w:rPr>
        <w:t>its seventy-second session.</w:t>
      </w:r>
    </w:p>
    <w:p w:rsidR="0084098D" w:rsidRDefault="0021743E" w:rsidP="0021743E">
      <w:pPr>
        <w:pStyle w:val="SingleTxtG"/>
        <w:rPr>
          <w:b/>
        </w:rPr>
      </w:pPr>
      <w:r>
        <w:rPr>
          <w:lang w:val="en-US"/>
        </w:rPr>
        <w:t>74.</w:t>
      </w:r>
      <w:r>
        <w:rPr>
          <w:lang w:val="en-US"/>
        </w:rPr>
        <w:tab/>
      </w:r>
      <w:r w:rsidR="0084098D">
        <w:rPr>
          <w:b/>
        </w:rPr>
        <w:t>In</w:t>
      </w:r>
      <w:r w:rsidR="00DF1568">
        <w:rPr>
          <w:b/>
        </w:rPr>
        <w:t xml:space="preserve"> the</w:t>
      </w:r>
      <w:r w:rsidR="0084098D">
        <w:rPr>
          <w:b/>
        </w:rPr>
        <w:t xml:space="preserve"> light of communications received and findings resulting from country visits, the Working Group notes with concern the increasing instances of arbitrary detention as a consequence of drug control laws and policies.</w:t>
      </w:r>
      <w:r w:rsidR="00CE0EF5">
        <w:rPr>
          <w:b/>
        </w:rPr>
        <w:t xml:space="preserve"> </w:t>
      </w:r>
      <w:r w:rsidR="0084098D">
        <w:rPr>
          <w:b/>
        </w:rPr>
        <w:t xml:space="preserve">Compulsory detention regimes for </w:t>
      </w:r>
      <w:r w:rsidR="00DF1568">
        <w:rPr>
          <w:b/>
        </w:rPr>
        <w:t xml:space="preserve">the </w:t>
      </w:r>
      <w:r w:rsidR="0084098D">
        <w:rPr>
          <w:b/>
        </w:rPr>
        <w:t>purposes of drug “rehabilitation” through confinement o</w:t>
      </w:r>
      <w:r w:rsidR="00DF1568">
        <w:rPr>
          <w:b/>
        </w:rPr>
        <w:t>r</w:t>
      </w:r>
      <w:r w:rsidR="0084098D">
        <w:rPr>
          <w:b/>
        </w:rPr>
        <w:t xml:space="preserve"> forced labour are contrary to scientific evidence and inherently arbitrary.</w:t>
      </w:r>
    </w:p>
    <w:p w:rsidR="0084098D" w:rsidRDefault="0021743E" w:rsidP="0021743E">
      <w:pPr>
        <w:pStyle w:val="SingleTxtG"/>
        <w:rPr>
          <w:b/>
        </w:rPr>
      </w:pPr>
      <w:r>
        <w:rPr>
          <w:lang w:val="en-US"/>
        </w:rPr>
        <w:t>75.</w:t>
      </w:r>
      <w:r>
        <w:rPr>
          <w:lang w:val="en-US"/>
        </w:rPr>
        <w:tab/>
      </w:r>
      <w:r w:rsidR="0084098D">
        <w:rPr>
          <w:b/>
        </w:rPr>
        <w:t>Criminal laws and penal measures pursued under the existing punitive system of international drug control raise important questions of legality, proportionality, necessity and appropriateness.</w:t>
      </w:r>
    </w:p>
    <w:p w:rsidR="0084098D" w:rsidRDefault="0021743E" w:rsidP="0021743E">
      <w:pPr>
        <w:pStyle w:val="SingleTxtG"/>
        <w:rPr>
          <w:b/>
        </w:rPr>
      </w:pPr>
      <w:r>
        <w:rPr>
          <w:lang w:val="en-US"/>
        </w:rPr>
        <w:t>76.</w:t>
      </w:r>
      <w:r>
        <w:rPr>
          <w:lang w:val="en-US"/>
        </w:rPr>
        <w:tab/>
      </w:r>
      <w:r w:rsidR="009E5D77">
        <w:rPr>
          <w:b/>
        </w:rPr>
        <w:t xml:space="preserve">The Working Group has received relevant information and communications </w:t>
      </w:r>
      <w:r w:rsidR="00DF1568">
        <w:rPr>
          <w:b/>
        </w:rPr>
        <w:t xml:space="preserve">on </w:t>
      </w:r>
      <w:r w:rsidR="009E5D77">
        <w:rPr>
          <w:b/>
        </w:rPr>
        <w:t xml:space="preserve">an increase of detentions in </w:t>
      </w:r>
      <w:r w:rsidR="00215AE7">
        <w:rPr>
          <w:b/>
        </w:rPr>
        <w:t xml:space="preserve">the </w:t>
      </w:r>
      <w:r w:rsidR="009E5D77">
        <w:rPr>
          <w:b/>
        </w:rPr>
        <w:t>context of peaceful protests.</w:t>
      </w:r>
      <w:r w:rsidR="00CE0EF5">
        <w:rPr>
          <w:b/>
        </w:rPr>
        <w:t xml:space="preserve"> </w:t>
      </w:r>
      <w:r w:rsidR="009E5D77">
        <w:rPr>
          <w:b/>
        </w:rPr>
        <w:t>It intends to consider this matter as a topic in its work for the year 2017.</w:t>
      </w:r>
    </w:p>
    <w:p w:rsidR="009E5D77" w:rsidRDefault="0021743E" w:rsidP="0021743E">
      <w:pPr>
        <w:pStyle w:val="SingleTxtG"/>
        <w:rPr>
          <w:b/>
        </w:rPr>
      </w:pPr>
      <w:r>
        <w:rPr>
          <w:lang w:val="en-US"/>
        </w:rPr>
        <w:t>77.</w:t>
      </w:r>
      <w:r>
        <w:rPr>
          <w:lang w:val="en-US"/>
        </w:rPr>
        <w:tab/>
      </w:r>
      <w:r w:rsidR="00E24A39">
        <w:rPr>
          <w:b/>
        </w:rPr>
        <w:t>States are under a positive obligation to provide an effective remedy for violations of international human rights</w:t>
      </w:r>
      <w:r w:rsidR="00DF1568">
        <w:rPr>
          <w:b/>
        </w:rPr>
        <w:t xml:space="preserve"> law</w:t>
      </w:r>
      <w:r w:rsidR="00E24A39">
        <w:rPr>
          <w:b/>
        </w:rPr>
        <w:t>.</w:t>
      </w:r>
      <w:r w:rsidR="00CE0EF5">
        <w:rPr>
          <w:b/>
        </w:rPr>
        <w:t xml:space="preserve"> </w:t>
      </w:r>
      <w:r w:rsidR="00E24A39">
        <w:rPr>
          <w:b/>
        </w:rPr>
        <w:t>In most cases, the individual has a right to compensation.</w:t>
      </w:r>
      <w:r w:rsidR="00CE0EF5">
        <w:rPr>
          <w:b/>
        </w:rPr>
        <w:t xml:space="preserve"> </w:t>
      </w:r>
      <w:r w:rsidR="00E24A39">
        <w:rPr>
          <w:b/>
        </w:rPr>
        <w:t>Th</w:t>
      </w:r>
      <w:r w:rsidR="00DF1568">
        <w:rPr>
          <w:b/>
        </w:rPr>
        <w:t>at</w:t>
      </w:r>
      <w:r w:rsidR="00E24A39">
        <w:rPr>
          <w:b/>
        </w:rPr>
        <w:t xml:space="preserve"> right cons</w:t>
      </w:r>
      <w:r w:rsidR="00DF1568">
        <w:rPr>
          <w:b/>
        </w:rPr>
        <w:t>t</w:t>
      </w:r>
      <w:r w:rsidR="00E24A39">
        <w:rPr>
          <w:b/>
        </w:rPr>
        <w:t>itutes a general principle of international law.</w:t>
      </w:r>
    </w:p>
    <w:p w:rsidR="00E24A39" w:rsidRPr="006A1FAC" w:rsidRDefault="0021743E" w:rsidP="0021743E">
      <w:pPr>
        <w:pStyle w:val="SingleTxtG"/>
        <w:rPr>
          <w:b/>
        </w:rPr>
      </w:pPr>
      <w:r w:rsidRPr="006A1FAC">
        <w:rPr>
          <w:lang w:val="en-US"/>
        </w:rPr>
        <w:t>78.</w:t>
      </w:r>
      <w:r w:rsidRPr="006A1FAC">
        <w:rPr>
          <w:lang w:val="en-US"/>
        </w:rPr>
        <w:tab/>
      </w:r>
      <w:r w:rsidR="0065583F">
        <w:rPr>
          <w:b/>
        </w:rPr>
        <w:t xml:space="preserve">The international law obligation to provide remedies is </w:t>
      </w:r>
      <w:r w:rsidR="00165E89">
        <w:rPr>
          <w:b/>
        </w:rPr>
        <w:t xml:space="preserve">fulfilled </w:t>
      </w:r>
      <w:r w:rsidR="0065583F" w:rsidRPr="00165E89">
        <w:rPr>
          <w:b/>
        </w:rPr>
        <w:t xml:space="preserve">primarily </w:t>
      </w:r>
      <w:r w:rsidR="00165E89">
        <w:rPr>
          <w:b/>
        </w:rPr>
        <w:t>through</w:t>
      </w:r>
      <w:r w:rsidR="0065583F">
        <w:rPr>
          <w:b/>
        </w:rPr>
        <w:t xml:space="preserve"> domestic law.</w:t>
      </w:r>
      <w:r w:rsidR="00CE0EF5">
        <w:rPr>
          <w:b/>
        </w:rPr>
        <w:t xml:space="preserve"> </w:t>
      </w:r>
      <w:r w:rsidR="0065583F">
        <w:rPr>
          <w:b/>
        </w:rPr>
        <w:t xml:space="preserve">Domestic courts have a particular role in granting </w:t>
      </w:r>
      <w:r w:rsidR="004424CC">
        <w:rPr>
          <w:b/>
        </w:rPr>
        <w:t>tort</w:t>
      </w:r>
      <w:r w:rsidR="0065583F">
        <w:rPr>
          <w:b/>
        </w:rPr>
        <w:t xml:space="preserve"> remedies</w:t>
      </w:r>
      <w:r w:rsidR="00DF1568">
        <w:rPr>
          <w:b/>
        </w:rPr>
        <w:t>, and</w:t>
      </w:r>
      <w:r w:rsidR="00CE0EF5">
        <w:rPr>
          <w:b/>
        </w:rPr>
        <w:t xml:space="preserve"> </w:t>
      </w:r>
      <w:r w:rsidR="00DF1568">
        <w:rPr>
          <w:b/>
        </w:rPr>
        <w:t>d</w:t>
      </w:r>
      <w:r w:rsidR="0065583F">
        <w:rPr>
          <w:b/>
        </w:rPr>
        <w:t>omestic law cannot erect barriers that would limit the effectiveness of international law.</w:t>
      </w:r>
      <w:r w:rsidR="00CE0EF5">
        <w:rPr>
          <w:b/>
        </w:rPr>
        <w:t xml:space="preserve"> </w:t>
      </w:r>
    </w:p>
    <w:p w:rsidR="00215F2E" w:rsidRPr="00555ACD" w:rsidRDefault="00215F2E">
      <w:pPr>
        <w:pStyle w:val="HChG"/>
      </w:pPr>
      <w:r w:rsidRPr="00056DDC">
        <w:tab/>
        <w:t>V.</w:t>
      </w:r>
      <w:r w:rsidRPr="00056DDC">
        <w:tab/>
        <w:t>Recommendations</w:t>
      </w:r>
    </w:p>
    <w:p w:rsidR="00215F2E" w:rsidRPr="006A1FAC" w:rsidRDefault="0021743E" w:rsidP="0021743E">
      <w:pPr>
        <w:pStyle w:val="SingleTxtG"/>
        <w:rPr>
          <w:b/>
        </w:rPr>
      </w:pPr>
      <w:r w:rsidRPr="006A1FAC">
        <w:rPr>
          <w:lang w:val="en-US"/>
        </w:rPr>
        <w:t>79.</w:t>
      </w:r>
      <w:r w:rsidRPr="006A1FAC">
        <w:rPr>
          <w:lang w:val="en-US"/>
        </w:rPr>
        <w:tab/>
      </w:r>
      <w:r w:rsidR="00215F2E" w:rsidRPr="006A1FAC">
        <w:rPr>
          <w:b/>
        </w:rPr>
        <w:t>The Working Group</w:t>
      </w:r>
      <w:r w:rsidR="00215AE7">
        <w:rPr>
          <w:b/>
        </w:rPr>
        <w:t xml:space="preserve"> on Arbitrary Detention</w:t>
      </w:r>
      <w:r w:rsidR="00215F2E" w:rsidRPr="006A1FAC">
        <w:rPr>
          <w:b/>
        </w:rPr>
        <w:t xml:space="preserve"> recommends that States:</w:t>
      </w:r>
    </w:p>
    <w:p w:rsidR="00215F2E" w:rsidRPr="006A1FAC" w:rsidRDefault="00215F2E" w:rsidP="004141C1">
      <w:pPr>
        <w:pStyle w:val="SingleTxtG"/>
        <w:ind w:firstLine="567"/>
        <w:rPr>
          <w:b/>
        </w:rPr>
      </w:pPr>
      <w:r w:rsidRPr="004141C1">
        <w:rPr>
          <w:bCs/>
        </w:rPr>
        <w:t>(a)</w:t>
      </w:r>
      <w:r w:rsidRPr="006A1FAC">
        <w:rPr>
          <w:b/>
        </w:rPr>
        <w:tab/>
        <w:t xml:space="preserve">Enforce and protect the right </w:t>
      </w:r>
      <w:r w:rsidRPr="0036787B">
        <w:rPr>
          <w:b/>
        </w:rPr>
        <w:t>to liberty</w:t>
      </w:r>
      <w:r w:rsidRPr="006A1FAC">
        <w:rPr>
          <w:b/>
        </w:rPr>
        <w:t xml:space="preserve"> of every </w:t>
      </w:r>
      <w:r w:rsidR="00A746FF">
        <w:rPr>
          <w:b/>
        </w:rPr>
        <w:t>person</w:t>
      </w:r>
      <w:r w:rsidRPr="006A1FAC">
        <w:rPr>
          <w:b/>
        </w:rPr>
        <w:t xml:space="preserve"> under </w:t>
      </w:r>
      <w:r w:rsidRPr="0036787B">
        <w:rPr>
          <w:b/>
        </w:rPr>
        <w:t>customary international law;</w:t>
      </w:r>
    </w:p>
    <w:p w:rsidR="00215F2E" w:rsidRPr="006A1FAC" w:rsidRDefault="00215F2E" w:rsidP="004141C1">
      <w:pPr>
        <w:pStyle w:val="SingleTxtG"/>
        <w:ind w:firstLine="567"/>
        <w:rPr>
          <w:b/>
        </w:rPr>
      </w:pPr>
      <w:r w:rsidRPr="004141C1">
        <w:rPr>
          <w:bCs/>
        </w:rPr>
        <w:t>(b)</w:t>
      </w:r>
      <w:r w:rsidRPr="006A1FAC">
        <w:rPr>
          <w:b/>
        </w:rPr>
        <w:tab/>
        <w:t xml:space="preserve">Ensure that the guarantees available against arbitrary arrest and detention are extended to all forms of deprivation of liberty, including house arrest; re-education through labour; prolonged periods of curfew; detention of migrants and asylum seekers; protective custody; detention for rehabilitation or treatment; </w:t>
      </w:r>
      <w:r w:rsidR="0036787B">
        <w:rPr>
          <w:b/>
        </w:rPr>
        <w:t xml:space="preserve">and </w:t>
      </w:r>
      <w:r w:rsidRPr="006A1FAC">
        <w:rPr>
          <w:b/>
        </w:rPr>
        <w:t>detention in transit areas</w:t>
      </w:r>
      <w:r w:rsidR="00CB798B" w:rsidRPr="006A1FAC">
        <w:rPr>
          <w:b/>
        </w:rPr>
        <w:t xml:space="preserve"> and</w:t>
      </w:r>
      <w:r w:rsidRPr="006A1FAC">
        <w:rPr>
          <w:b/>
        </w:rPr>
        <w:t xml:space="preserve"> </w:t>
      </w:r>
      <w:r w:rsidR="0036787B">
        <w:rPr>
          <w:b/>
        </w:rPr>
        <w:t xml:space="preserve">at </w:t>
      </w:r>
      <w:r w:rsidRPr="006A1FAC">
        <w:rPr>
          <w:b/>
        </w:rPr>
        <w:t>border control checkpoints;</w:t>
      </w:r>
    </w:p>
    <w:p w:rsidR="00215F2E" w:rsidRPr="006A1FAC" w:rsidRDefault="00215F2E" w:rsidP="004141C1">
      <w:pPr>
        <w:pStyle w:val="SingleTxtG"/>
        <w:ind w:firstLine="567"/>
        <w:rPr>
          <w:b/>
        </w:rPr>
      </w:pPr>
      <w:r w:rsidRPr="004141C1">
        <w:rPr>
          <w:bCs/>
        </w:rPr>
        <w:t>(c)</w:t>
      </w:r>
      <w:r w:rsidRPr="006A1FAC">
        <w:rPr>
          <w:b/>
        </w:rPr>
        <w:tab/>
        <w:t xml:space="preserve">Ensure that persons are not held in </w:t>
      </w:r>
      <w:proofErr w:type="spellStart"/>
      <w:r w:rsidRPr="006A1FAC">
        <w:rPr>
          <w:b/>
        </w:rPr>
        <w:t>pretrial</w:t>
      </w:r>
      <w:proofErr w:type="spellEnd"/>
      <w:r w:rsidRPr="006A1FAC">
        <w:rPr>
          <w:b/>
        </w:rPr>
        <w:t xml:space="preserve"> detention for periods longer than those prescribed by law, </w:t>
      </w:r>
      <w:r w:rsidR="00CB798B" w:rsidRPr="006A1FAC">
        <w:rPr>
          <w:b/>
        </w:rPr>
        <w:t>and that they are</w:t>
      </w:r>
      <w:r w:rsidRPr="006A1FAC">
        <w:rPr>
          <w:b/>
        </w:rPr>
        <w:t xml:space="preserve"> pr</w:t>
      </w:r>
      <w:r w:rsidR="00351B0A" w:rsidRPr="006A1FAC">
        <w:rPr>
          <w:b/>
        </w:rPr>
        <w:t>ompt</w:t>
      </w:r>
      <w:r w:rsidR="00CB798B" w:rsidRPr="006A1FAC">
        <w:rPr>
          <w:b/>
        </w:rPr>
        <w:t>ly</w:t>
      </w:r>
      <w:r w:rsidR="00351B0A" w:rsidRPr="006A1FAC">
        <w:rPr>
          <w:b/>
        </w:rPr>
        <w:t xml:space="preserve"> </w:t>
      </w:r>
      <w:r w:rsidR="00CB798B" w:rsidRPr="006A1FAC">
        <w:rPr>
          <w:b/>
        </w:rPr>
        <w:t xml:space="preserve">brought </w:t>
      </w:r>
      <w:r w:rsidR="00351B0A" w:rsidRPr="006A1FAC">
        <w:rPr>
          <w:b/>
        </w:rPr>
        <w:t>before a judge</w:t>
      </w:r>
      <w:r w:rsidR="001E0B7B" w:rsidRPr="006A1FAC">
        <w:rPr>
          <w:b/>
        </w:rPr>
        <w:t>;</w:t>
      </w:r>
    </w:p>
    <w:p w:rsidR="00A7594A" w:rsidRPr="006A1FAC" w:rsidRDefault="00A7594A" w:rsidP="004141C1">
      <w:pPr>
        <w:pStyle w:val="SingleTxtG"/>
        <w:ind w:firstLine="567"/>
        <w:rPr>
          <w:b/>
        </w:rPr>
      </w:pPr>
      <w:r w:rsidRPr="004141C1">
        <w:rPr>
          <w:bCs/>
        </w:rPr>
        <w:t>(d)</w:t>
      </w:r>
      <w:r w:rsidRPr="006A1FAC">
        <w:rPr>
          <w:b/>
        </w:rPr>
        <w:tab/>
        <w:t>Remedy arbitrary detention</w:t>
      </w:r>
      <w:r w:rsidR="001E0B7B" w:rsidRPr="006A1FAC">
        <w:rPr>
          <w:b/>
        </w:rPr>
        <w:t>,</w:t>
      </w:r>
      <w:r w:rsidRPr="006A1FAC">
        <w:rPr>
          <w:b/>
        </w:rPr>
        <w:t xml:space="preserve"> mainly by immediate release and compensation as required by international human rights conventions and customary international law, and assist the Working Group in the follow-up </w:t>
      </w:r>
      <w:r w:rsidR="001E0B7B" w:rsidRPr="006A1FAC">
        <w:rPr>
          <w:b/>
        </w:rPr>
        <w:t xml:space="preserve">to </w:t>
      </w:r>
      <w:r w:rsidRPr="006A1FAC">
        <w:rPr>
          <w:b/>
        </w:rPr>
        <w:t xml:space="preserve">its </w:t>
      </w:r>
      <w:r w:rsidR="0036787B">
        <w:rPr>
          <w:b/>
        </w:rPr>
        <w:t>o</w:t>
      </w:r>
      <w:r w:rsidRPr="006A1FAC">
        <w:rPr>
          <w:b/>
        </w:rPr>
        <w:t>pinions in individual cases.</w:t>
      </w:r>
    </w:p>
    <w:p w:rsidR="00215F2E" w:rsidRPr="006A1FAC" w:rsidRDefault="0021743E" w:rsidP="0021743E">
      <w:pPr>
        <w:pStyle w:val="SingleTxtG"/>
        <w:rPr>
          <w:b/>
        </w:rPr>
      </w:pPr>
      <w:r w:rsidRPr="006A1FAC">
        <w:rPr>
          <w:lang w:val="en-US"/>
        </w:rPr>
        <w:t>80.</w:t>
      </w:r>
      <w:r w:rsidRPr="006A1FAC">
        <w:rPr>
          <w:lang w:val="en-US"/>
        </w:rPr>
        <w:tab/>
      </w:r>
      <w:r w:rsidR="00215F2E" w:rsidRPr="006A1FAC">
        <w:rPr>
          <w:b/>
        </w:rPr>
        <w:t>All measures of detention should be justified</w:t>
      </w:r>
      <w:r w:rsidR="001E0B7B" w:rsidRPr="006A1FAC">
        <w:rPr>
          <w:b/>
        </w:rPr>
        <w:t>,</w:t>
      </w:r>
      <w:r w:rsidR="00215F2E" w:rsidRPr="006A1FAC">
        <w:rPr>
          <w:b/>
        </w:rPr>
        <w:t xml:space="preserve"> adequate</w:t>
      </w:r>
      <w:r w:rsidR="001E0B7B" w:rsidRPr="006A1FAC">
        <w:rPr>
          <w:b/>
        </w:rPr>
        <w:t>,</w:t>
      </w:r>
      <w:r w:rsidR="00215F2E" w:rsidRPr="006A1FAC">
        <w:rPr>
          <w:b/>
        </w:rPr>
        <w:t xml:space="preserve"> necessary and proportional to the aim soug</w:t>
      </w:r>
      <w:r w:rsidR="00351B0A" w:rsidRPr="006A1FAC">
        <w:rPr>
          <w:b/>
        </w:rPr>
        <w:t>ht.</w:t>
      </w:r>
    </w:p>
    <w:p w:rsidR="00215F2E" w:rsidRPr="006A1FAC" w:rsidRDefault="0021743E" w:rsidP="0021743E">
      <w:pPr>
        <w:pStyle w:val="SingleTxtG"/>
        <w:rPr>
          <w:b/>
        </w:rPr>
      </w:pPr>
      <w:r w:rsidRPr="006A1FAC">
        <w:rPr>
          <w:lang w:val="en-US"/>
        </w:rPr>
        <w:t>81.</w:t>
      </w:r>
      <w:r w:rsidRPr="006A1FAC">
        <w:rPr>
          <w:lang w:val="en-US"/>
        </w:rPr>
        <w:tab/>
      </w:r>
      <w:r w:rsidR="00215F2E" w:rsidRPr="006A1FAC">
        <w:rPr>
          <w:b/>
        </w:rPr>
        <w:t xml:space="preserve">All persons subjected to a measure of detention should benefit at all stages </w:t>
      </w:r>
      <w:r w:rsidR="0036787B">
        <w:rPr>
          <w:b/>
        </w:rPr>
        <w:t>from</w:t>
      </w:r>
      <w:r w:rsidR="00215F2E" w:rsidRPr="006A1FAC">
        <w:rPr>
          <w:b/>
        </w:rPr>
        <w:t xml:space="preserve"> access to a lawyer of her or his choice </w:t>
      </w:r>
      <w:r w:rsidR="0036787B">
        <w:rPr>
          <w:b/>
        </w:rPr>
        <w:t>and</w:t>
      </w:r>
      <w:r w:rsidR="00215F2E" w:rsidRPr="006A1FAC">
        <w:rPr>
          <w:b/>
        </w:rPr>
        <w:t xml:space="preserve"> to effective legal</w:t>
      </w:r>
      <w:r w:rsidR="00351B0A" w:rsidRPr="006A1FAC">
        <w:rPr>
          <w:b/>
        </w:rPr>
        <w:t xml:space="preserve"> assistance and representation.</w:t>
      </w:r>
    </w:p>
    <w:p w:rsidR="00AE6CEF" w:rsidRPr="006A1FAC" w:rsidRDefault="0021743E" w:rsidP="0021743E">
      <w:pPr>
        <w:pStyle w:val="SingleTxtG"/>
        <w:rPr>
          <w:b/>
        </w:rPr>
      </w:pPr>
      <w:r w:rsidRPr="006A1FAC">
        <w:rPr>
          <w:lang w:val="en-US"/>
        </w:rPr>
        <w:t>82.</w:t>
      </w:r>
      <w:r w:rsidRPr="006A1FAC">
        <w:rPr>
          <w:lang w:val="en-US"/>
        </w:rPr>
        <w:tab/>
      </w:r>
      <w:r w:rsidR="00215F2E" w:rsidRPr="006A1FAC">
        <w:rPr>
          <w:b/>
        </w:rPr>
        <w:t>All detainees should benefit from all minimum procedural guarantees, including the principle of equality of arms</w:t>
      </w:r>
      <w:r w:rsidR="0036787B">
        <w:rPr>
          <w:b/>
        </w:rPr>
        <w:t>,</w:t>
      </w:r>
      <w:r w:rsidR="00215F2E" w:rsidRPr="006A1FAC">
        <w:rPr>
          <w:b/>
        </w:rPr>
        <w:t xml:space="preserve"> the provision of adequate time and facilities for the preparation of the defence</w:t>
      </w:r>
      <w:r w:rsidR="0036787B">
        <w:rPr>
          <w:b/>
        </w:rPr>
        <w:t>,</w:t>
      </w:r>
      <w:r w:rsidR="00215F2E" w:rsidRPr="006A1FAC">
        <w:rPr>
          <w:b/>
        </w:rPr>
        <w:t xml:space="preserve"> proper access to evidence and guarantees against self-incrimination.</w:t>
      </w:r>
    </w:p>
    <w:p w:rsidR="00C27C2C" w:rsidRPr="00C27C2C" w:rsidRDefault="0021743E" w:rsidP="0021743E">
      <w:pPr>
        <w:pStyle w:val="SingleTxtG"/>
      </w:pPr>
      <w:r w:rsidRPr="00C27C2C">
        <w:rPr>
          <w:lang w:val="en-US"/>
        </w:rPr>
        <w:t>83.</w:t>
      </w:r>
      <w:r w:rsidRPr="00C27C2C">
        <w:rPr>
          <w:lang w:val="en-US"/>
        </w:rPr>
        <w:tab/>
      </w:r>
      <w:r w:rsidR="008A608C" w:rsidRPr="006A1FAC">
        <w:rPr>
          <w:b/>
        </w:rPr>
        <w:t xml:space="preserve">The Working Group requests the Human Rights Council to </w:t>
      </w:r>
      <w:r w:rsidR="0065583F">
        <w:rPr>
          <w:b/>
        </w:rPr>
        <w:t xml:space="preserve">formally </w:t>
      </w:r>
      <w:r w:rsidR="004F2D38" w:rsidRPr="006A1FAC">
        <w:rPr>
          <w:b/>
        </w:rPr>
        <w:t xml:space="preserve">adopt the draft </w:t>
      </w:r>
      <w:r w:rsidR="00567A0F" w:rsidRPr="00076C46">
        <w:rPr>
          <w:b/>
        </w:rPr>
        <w:t>basic</w:t>
      </w:r>
      <w:r w:rsidR="00567A0F">
        <w:rPr>
          <w:b/>
        </w:rPr>
        <w:t xml:space="preserve"> </w:t>
      </w:r>
      <w:r w:rsidR="004F2D38" w:rsidRPr="006A1FAC">
        <w:rPr>
          <w:b/>
        </w:rPr>
        <w:t xml:space="preserve">principles and guidelines on remedies and procedures </w:t>
      </w:r>
      <w:r w:rsidR="00567A0F">
        <w:rPr>
          <w:b/>
        </w:rPr>
        <w:t>on the</w:t>
      </w:r>
      <w:r w:rsidR="004F2D38" w:rsidRPr="006A1FAC">
        <w:rPr>
          <w:b/>
        </w:rPr>
        <w:t xml:space="preserve"> right of anyone deprived of his or her liberty by arrest or detention to bring proceedings before court. </w:t>
      </w:r>
    </w:p>
    <w:p w:rsidR="00C27C2C" w:rsidRPr="00C27C2C" w:rsidRDefault="0021743E" w:rsidP="0021743E">
      <w:pPr>
        <w:pStyle w:val="SingleTxtG"/>
      </w:pPr>
      <w:r w:rsidRPr="00C27C2C">
        <w:rPr>
          <w:lang w:val="en-US"/>
        </w:rPr>
        <w:t>84.</w:t>
      </w:r>
      <w:r w:rsidRPr="00C27C2C">
        <w:rPr>
          <w:lang w:val="en-US"/>
        </w:rPr>
        <w:tab/>
      </w:r>
      <w:r w:rsidR="00C27C2C" w:rsidRPr="00B259E2">
        <w:rPr>
          <w:b/>
        </w:rPr>
        <w:t xml:space="preserve">The Human Rights Council </w:t>
      </w:r>
      <w:r w:rsidR="0065583F" w:rsidRPr="00B259E2">
        <w:rPr>
          <w:b/>
        </w:rPr>
        <w:t>may</w:t>
      </w:r>
      <w:r w:rsidR="001472DE">
        <w:rPr>
          <w:b/>
        </w:rPr>
        <w:t xml:space="preserve"> wish</w:t>
      </w:r>
      <w:r w:rsidR="0065583F" w:rsidRPr="00B259E2">
        <w:rPr>
          <w:b/>
        </w:rPr>
        <w:t xml:space="preserve"> </w:t>
      </w:r>
      <w:r w:rsidR="00215AE7">
        <w:rPr>
          <w:b/>
        </w:rPr>
        <w:t xml:space="preserve">to </w:t>
      </w:r>
      <w:r w:rsidR="00C27C2C" w:rsidRPr="00B259E2">
        <w:rPr>
          <w:b/>
        </w:rPr>
        <w:t>request</w:t>
      </w:r>
      <w:r w:rsidR="00C27C2C" w:rsidRPr="00C27C2C">
        <w:rPr>
          <w:b/>
        </w:rPr>
        <w:t xml:space="preserve"> the Working Group, with the support of </w:t>
      </w:r>
      <w:r w:rsidR="008B4434">
        <w:rPr>
          <w:b/>
        </w:rPr>
        <w:t>OHCHR</w:t>
      </w:r>
      <w:r w:rsidR="00C27C2C" w:rsidRPr="00C27C2C">
        <w:rPr>
          <w:b/>
        </w:rPr>
        <w:t xml:space="preserve">, </w:t>
      </w:r>
      <w:r w:rsidR="00B259E2">
        <w:rPr>
          <w:b/>
        </w:rPr>
        <w:t xml:space="preserve">to undertake </w:t>
      </w:r>
      <w:r w:rsidR="00C27C2C" w:rsidRPr="00C27C2C">
        <w:rPr>
          <w:b/>
        </w:rPr>
        <w:t>an in</w:t>
      </w:r>
      <w:r w:rsidR="00567A0F">
        <w:rPr>
          <w:b/>
        </w:rPr>
        <w:t>-</w:t>
      </w:r>
      <w:r w:rsidR="00C27C2C" w:rsidRPr="00C27C2C">
        <w:rPr>
          <w:b/>
        </w:rPr>
        <w:t xml:space="preserve">depth analysis of arbitrary detention </w:t>
      </w:r>
      <w:r w:rsidR="00CC6C28">
        <w:rPr>
          <w:b/>
        </w:rPr>
        <w:t>as a consequence of</w:t>
      </w:r>
      <w:r w:rsidR="00C27C2C" w:rsidRPr="00C27C2C">
        <w:rPr>
          <w:b/>
        </w:rPr>
        <w:t xml:space="preserve"> </w:t>
      </w:r>
      <w:r w:rsidR="0065583F">
        <w:rPr>
          <w:b/>
        </w:rPr>
        <w:t xml:space="preserve">international or </w:t>
      </w:r>
      <w:r w:rsidR="00C27C2C" w:rsidRPr="00C27C2C">
        <w:rPr>
          <w:b/>
        </w:rPr>
        <w:t xml:space="preserve">national drug policies, taking into account the information provided by States, international </w:t>
      </w:r>
      <w:r w:rsidR="0065583F">
        <w:rPr>
          <w:b/>
        </w:rPr>
        <w:t>and</w:t>
      </w:r>
      <w:r w:rsidR="00C27C2C" w:rsidRPr="00C27C2C">
        <w:rPr>
          <w:b/>
        </w:rPr>
        <w:t xml:space="preserve"> regional organizations, organs</w:t>
      </w:r>
      <w:r w:rsidR="0065583F">
        <w:rPr>
          <w:b/>
        </w:rPr>
        <w:t xml:space="preserve">, agencies and </w:t>
      </w:r>
      <w:r w:rsidR="00C27C2C" w:rsidRPr="00C27C2C">
        <w:rPr>
          <w:b/>
        </w:rPr>
        <w:t>bodies</w:t>
      </w:r>
      <w:r w:rsidR="00463C15">
        <w:rPr>
          <w:b/>
        </w:rPr>
        <w:t xml:space="preserve"> of the United Nations system</w:t>
      </w:r>
      <w:r w:rsidR="00C27C2C" w:rsidRPr="00C27C2C">
        <w:rPr>
          <w:b/>
        </w:rPr>
        <w:t>,</w:t>
      </w:r>
      <w:r w:rsidR="00463C15">
        <w:rPr>
          <w:b/>
        </w:rPr>
        <w:t xml:space="preserve"> and</w:t>
      </w:r>
      <w:r w:rsidR="00C27C2C" w:rsidRPr="00C27C2C">
        <w:rPr>
          <w:b/>
        </w:rPr>
        <w:t xml:space="preserve"> other relevant stakeholder</w:t>
      </w:r>
      <w:r w:rsidR="0065583F">
        <w:rPr>
          <w:b/>
        </w:rPr>
        <w:t>s</w:t>
      </w:r>
      <w:r w:rsidR="00567A0F">
        <w:rPr>
          <w:b/>
        </w:rPr>
        <w:t>,</w:t>
      </w:r>
      <w:r w:rsidR="00C27C2C" w:rsidRPr="00C27C2C">
        <w:rPr>
          <w:b/>
        </w:rPr>
        <w:t xml:space="preserve"> and </w:t>
      </w:r>
      <w:r w:rsidR="0065583F">
        <w:rPr>
          <w:b/>
        </w:rPr>
        <w:t xml:space="preserve">to </w:t>
      </w:r>
      <w:r w:rsidR="00567A0F">
        <w:rPr>
          <w:b/>
        </w:rPr>
        <w:t>submit</w:t>
      </w:r>
      <w:r w:rsidR="00567A0F" w:rsidRPr="00C27C2C">
        <w:rPr>
          <w:b/>
        </w:rPr>
        <w:t xml:space="preserve"> </w:t>
      </w:r>
      <w:r w:rsidR="00C27C2C" w:rsidRPr="00C27C2C">
        <w:rPr>
          <w:b/>
        </w:rPr>
        <w:t xml:space="preserve">to the Council </w:t>
      </w:r>
      <w:r w:rsidR="0065583F">
        <w:rPr>
          <w:b/>
        </w:rPr>
        <w:t xml:space="preserve">a report </w:t>
      </w:r>
      <w:r w:rsidR="00567A0F">
        <w:rPr>
          <w:b/>
        </w:rPr>
        <w:t xml:space="preserve">thereon </w:t>
      </w:r>
      <w:r w:rsidR="0065583F" w:rsidRPr="00DD0359">
        <w:rPr>
          <w:b/>
        </w:rPr>
        <w:t xml:space="preserve">at </w:t>
      </w:r>
      <w:r w:rsidR="00C27C2C" w:rsidRPr="00DD0359">
        <w:rPr>
          <w:b/>
        </w:rPr>
        <w:t>the end of 201</w:t>
      </w:r>
      <w:r w:rsidR="0065583F" w:rsidRPr="00DD0359">
        <w:rPr>
          <w:b/>
        </w:rPr>
        <w:t>7</w:t>
      </w:r>
      <w:r w:rsidR="00C27C2C" w:rsidRPr="00DD0359">
        <w:rPr>
          <w:b/>
        </w:rPr>
        <w:t>.</w:t>
      </w:r>
    </w:p>
    <w:p w:rsidR="003A6951" w:rsidRDefault="0021743E" w:rsidP="0021743E">
      <w:pPr>
        <w:pStyle w:val="SingleTxtG"/>
        <w:rPr>
          <w:b/>
        </w:rPr>
      </w:pPr>
      <w:r>
        <w:rPr>
          <w:lang w:val="en-US"/>
        </w:rPr>
        <w:t>85.</w:t>
      </w:r>
      <w:r>
        <w:rPr>
          <w:lang w:val="en-US"/>
        </w:rPr>
        <w:tab/>
      </w:r>
      <w:r w:rsidR="00C27C2C" w:rsidRPr="00B259E2">
        <w:rPr>
          <w:b/>
        </w:rPr>
        <w:t xml:space="preserve">The Human Rights Council </w:t>
      </w:r>
      <w:r w:rsidR="0065583F" w:rsidRPr="00B259E2">
        <w:rPr>
          <w:b/>
        </w:rPr>
        <w:t>may</w:t>
      </w:r>
      <w:r w:rsidR="00C27C2C" w:rsidRPr="00B259E2">
        <w:rPr>
          <w:b/>
        </w:rPr>
        <w:t xml:space="preserve"> </w:t>
      </w:r>
      <w:r w:rsidR="001472DE">
        <w:rPr>
          <w:b/>
        </w:rPr>
        <w:t xml:space="preserve">wish </w:t>
      </w:r>
      <w:r w:rsidR="00215AE7">
        <w:rPr>
          <w:b/>
        </w:rPr>
        <w:t xml:space="preserve">to </w:t>
      </w:r>
      <w:r w:rsidR="00C27C2C" w:rsidRPr="00B259E2">
        <w:rPr>
          <w:b/>
        </w:rPr>
        <w:t>request the Working Group</w:t>
      </w:r>
      <w:r w:rsidR="0065583F">
        <w:rPr>
          <w:b/>
        </w:rPr>
        <w:t xml:space="preserve"> to prepare</w:t>
      </w:r>
      <w:r w:rsidR="00567A0F">
        <w:rPr>
          <w:b/>
        </w:rPr>
        <w:t>,</w:t>
      </w:r>
      <w:r w:rsidR="00C27C2C" w:rsidRPr="00C27C2C">
        <w:rPr>
          <w:b/>
        </w:rPr>
        <w:t xml:space="preserve"> with the support of </w:t>
      </w:r>
      <w:r w:rsidR="008B4434">
        <w:rPr>
          <w:b/>
        </w:rPr>
        <w:t>OHCHR</w:t>
      </w:r>
      <w:r w:rsidR="0065583F">
        <w:rPr>
          <w:b/>
        </w:rPr>
        <w:t>,</w:t>
      </w:r>
      <w:r w:rsidR="00C27C2C" w:rsidRPr="00C27C2C">
        <w:rPr>
          <w:b/>
        </w:rPr>
        <w:t xml:space="preserve"> an analytical report on the principles of legality, proportionality, necessity and appropriateness applicable to avoid arbitrary detentions, taking into account the </w:t>
      </w:r>
      <w:r w:rsidR="00646997" w:rsidRPr="00646997">
        <w:rPr>
          <w:b/>
        </w:rPr>
        <w:t xml:space="preserve">lessons learned </w:t>
      </w:r>
      <w:r w:rsidR="00646997">
        <w:rPr>
          <w:b/>
        </w:rPr>
        <w:t xml:space="preserve">and </w:t>
      </w:r>
      <w:r w:rsidR="00C27C2C" w:rsidRPr="00C27C2C">
        <w:rPr>
          <w:b/>
        </w:rPr>
        <w:t xml:space="preserve">best practices </w:t>
      </w:r>
      <w:r w:rsidR="00646997">
        <w:rPr>
          <w:b/>
        </w:rPr>
        <w:t>of</w:t>
      </w:r>
      <w:r w:rsidR="00646997" w:rsidRPr="00C27C2C">
        <w:rPr>
          <w:b/>
        </w:rPr>
        <w:t xml:space="preserve"> </w:t>
      </w:r>
      <w:r w:rsidR="00C27C2C" w:rsidRPr="00C27C2C">
        <w:rPr>
          <w:b/>
        </w:rPr>
        <w:t xml:space="preserve">national legal systems </w:t>
      </w:r>
      <w:r w:rsidR="00646997">
        <w:rPr>
          <w:b/>
        </w:rPr>
        <w:t>and</w:t>
      </w:r>
      <w:r w:rsidR="00C27C2C" w:rsidRPr="00C27C2C">
        <w:rPr>
          <w:b/>
        </w:rPr>
        <w:t xml:space="preserve"> international and regional human rights mechanisms, </w:t>
      </w:r>
      <w:r w:rsidR="00646997">
        <w:rPr>
          <w:b/>
        </w:rPr>
        <w:t>for submission</w:t>
      </w:r>
      <w:r w:rsidR="00C27C2C" w:rsidRPr="00C27C2C">
        <w:rPr>
          <w:b/>
        </w:rPr>
        <w:t xml:space="preserve"> to the Council </w:t>
      </w:r>
      <w:r w:rsidR="00C27C2C" w:rsidRPr="008812B5">
        <w:rPr>
          <w:b/>
        </w:rPr>
        <w:t xml:space="preserve">at the </w:t>
      </w:r>
      <w:r w:rsidR="0065583F" w:rsidRPr="008812B5">
        <w:rPr>
          <w:b/>
        </w:rPr>
        <w:t>end of 2018</w:t>
      </w:r>
      <w:r w:rsidR="00C27C2C" w:rsidRPr="008812B5">
        <w:rPr>
          <w:b/>
        </w:rPr>
        <w:t>.</w:t>
      </w:r>
    </w:p>
    <w:p w:rsidR="0065583F" w:rsidRDefault="0021743E" w:rsidP="0021743E">
      <w:pPr>
        <w:pStyle w:val="SingleTxtG"/>
        <w:rPr>
          <w:b/>
        </w:rPr>
      </w:pPr>
      <w:r>
        <w:rPr>
          <w:lang w:val="en-US"/>
        </w:rPr>
        <w:t>86.</w:t>
      </w:r>
      <w:r>
        <w:rPr>
          <w:lang w:val="en-US"/>
        </w:rPr>
        <w:tab/>
      </w:r>
      <w:r w:rsidR="0065583F" w:rsidRPr="00B259E2">
        <w:rPr>
          <w:b/>
        </w:rPr>
        <w:t>The Human Right</w:t>
      </w:r>
      <w:r w:rsidR="00646997" w:rsidRPr="004141C1">
        <w:rPr>
          <w:b/>
        </w:rPr>
        <w:t>s</w:t>
      </w:r>
      <w:r w:rsidR="0065583F" w:rsidRPr="00B259E2">
        <w:rPr>
          <w:b/>
        </w:rPr>
        <w:t xml:space="preserve"> Council may wish to remind</w:t>
      </w:r>
      <w:r w:rsidR="0065583F">
        <w:rPr>
          <w:b/>
        </w:rPr>
        <w:t xml:space="preserve"> States that they are under a positive obligation to provide an effective remedy for violations of international human rights law.</w:t>
      </w:r>
    </w:p>
    <w:p w:rsidR="003A6951" w:rsidRDefault="003A6951">
      <w:pPr>
        <w:suppressAutoHyphens w:val="0"/>
        <w:spacing w:line="240" w:lineRule="auto"/>
        <w:rPr>
          <w:b/>
        </w:rPr>
      </w:pPr>
      <w:r>
        <w:rPr>
          <w:b/>
        </w:rPr>
        <w:br w:type="page"/>
      </w:r>
    </w:p>
    <w:p w:rsidR="00C41B22" w:rsidRPr="004141C1" w:rsidRDefault="00C41B22">
      <w:pPr>
        <w:pStyle w:val="HChG"/>
        <w:rPr>
          <w:lang w:val="en-US"/>
        </w:rPr>
      </w:pPr>
      <w:r w:rsidRPr="004141C1">
        <w:rPr>
          <w:lang w:val="en-US"/>
        </w:rPr>
        <w:t>Annex</w:t>
      </w:r>
    </w:p>
    <w:p w:rsidR="00AA5BFD" w:rsidRPr="005634FC" w:rsidRDefault="00AA5BFD" w:rsidP="005634FC">
      <w:pPr>
        <w:ind w:right="1134"/>
        <w:jc w:val="right"/>
        <w:rPr>
          <w:i/>
          <w:lang w:val="en-US"/>
        </w:rPr>
      </w:pPr>
      <w:r w:rsidRPr="005634FC">
        <w:rPr>
          <w:i/>
          <w:lang w:val="en-US"/>
        </w:rPr>
        <w:t>[Original: Spanish]</w:t>
      </w:r>
    </w:p>
    <w:p w:rsidR="00C41B22" w:rsidRPr="004141C1" w:rsidRDefault="00C41B22" w:rsidP="00646997">
      <w:pPr>
        <w:pStyle w:val="HChG"/>
        <w:rPr>
          <w:lang w:val="en-US"/>
        </w:rPr>
      </w:pPr>
      <w:r w:rsidRPr="004141C1">
        <w:rPr>
          <w:lang w:val="en-US"/>
        </w:rPr>
        <w:tab/>
      </w:r>
      <w:r w:rsidR="00C80AB8" w:rsidRPr="004141C1">
        <w:rPr>
          <w:lang w:val="en-US"/>
        </w:rPr>
        <w:tab/>
      </w:r>
      <w:r w:rsidRPr="004141C1">
        <w:rPr>
          <w:lang w:val="en-US"/>
        </w:rPr>
        <w:t xml:space="preserve">Reply from the Government of Cuba </w:t>
      </w:r>
      <w:r w:rsidR="00646997">
        <w:rPr>
          <w:lang w:val="en-US"/>
        </w:rPr>
        <w:t>concerning</w:t>
      </w:r>
      <w:r w:rsidR="00646997" w:rsidRPr="004141C1">
        <w:rPr>
          <w:lang w:val="en-US"/>
        </w:rPr>
        <w:t xml:space="preserve"> </w:t>
      </w:r>
      <w:r w:rsidRPr="00886EE5">
        <w:t>o</w:t>
      </w:r>
      <w:r w:rsidRPr="004141C1">
        <w:rPr>
          <w:lang w:val="en-US"/>
        </w:rPr>
        <w:t xml:space="preserve">pinion </w:t>
      </w:r>
      <w:r w:rsidR="00187CBF" w:rsidRPr="004141C1">
        <w:rPr>
          <w:lang w:val="en-US"/>
        </w:rPr>
        <w:t>No. </w:t>
      </w:r>
      <w:r w:rsidRPr="004141C1">
        <w:rPr>
          <w:lang w:val="en-US"/>
        </w:rPr>
        <w:t>50/2014</w:t>
      </w:r>
    </w:p>
    <w:p w:rsidR="003A6951" w:rsidRPr="00FD3DDA" w:rsidRDefault="003A6951" w:rsidP="004141C1">
      <w:pPr>
        <w:pStyle w:val="SingleTxtG"/>
        <w:ind w:firstLine="567"/>
        <w:rPr>
          <w:lang w:val="es-ES"/>
        </w:rPr>
      </w:pPr>
      <w:r w:rsidRPr="00FD3DDA">
        <w:rPr>
          <w:lang w:val="es-ES"/>
        </w:rPr>
        <w:t>El Gobierno de Cuba no ha podido hacer nada para impedir los diversos usos que e</w:t>
      </w:r>
      <w:r w:rsidR="008C7A51">
        <w:rPr>
          <w:lang w:val="es-ES"/>
        </w:rPr>
        <w:t>l</w:t>
      </w:r>
      <w:r w:rsidRPr="00FD3DDA">
        <w:rPr>
          <w:lang w:val="es-ES"/>
        </w:rPr>
        <w:t xml:space="preserve"> Gobierno de Estados Unidos ha hecho de la Base Naval en Guantánamo, pues aunque el Estado cubano ejerce s</w:t>
      </w:r>
      <w:r w:rsidR="008C7A51">
        <w:rPr>
          <w:lang w:val="es-ES"/>
        </w:rPr>
        <w:t>u</w:t>
      </w:r>
      <w:r w:rsidRPr="00FD3DDA">
        <w:rPr>
          <w:lang w:val="es-ES"/>
        </w:rPr>
        <w:t xml:space="preserve"> soberanía sobre todo el territorio nacional, son los Estados Unidos los que ejercen jurisdicción sobre el territorio de la Base Naval de Guantánamo, mientras dure su ilegal ocupación.</w:t>
      </w:r>
    </w:p>
    <w:p w:rsidR="003A6951" w:rsidRPr="00FD3DDA" w:rsidRDefault="001738BA" w:rsidP="004141C1">
      <w:pPr>
        <w:pStyle w:val="SingleTxtG"/>
        <w:ind w:firstLine="567"/>
        <w:rPr>
          <w:lang w:val="es-ES"/>
        </w:rPr>
      </w:pPr>
      <w:r w:rsidRPr="00FD3DDA">
        <w:rPr>
          <w:lang w:val="es-ES"/>
        </w:rPr>
        <w:t>La actual Constitución de</w:t>
      </w:r>
      <w:r w:rsidR="008C7A51">
        <w:rPr>
          <w:lang w:val="es-ES"/>
        </w:rPr>
        <w:t xml:space="preserve"> </w:t>
      </w:r>
      <w:r w:rsidRPr="00FD3DDA">
        <w:rPr>
          <w:lang w:val="es-ES"/>
        </w:rPr>
        <w:t>la República de Cuba repudia y considera ilegales y nulos los tratados, pactos o concesiones concertados en condiciones de desigualdad o que desconocen o disminuyen su soberanía y su integrida</w:t>
      </w:r>
      <w:r w:rsidR="007115F0" w:rsidRPr="00FD3DDA">
        <w:rPr>
          <w:lang w:val="es-ES"/>
        </w:rPr>
        <w:t>d</w:t>
      </w:r>
      <w:r w:rsidRPr="00FD3DDA">
        <w:rPr>
          <w:lang w:val="es-ES"/>
        </w:rPr>
        <w:t xml:space="preserve"> territorial, como es el caso del Conveni</w:t>
      </w:r>
      <w:r w:rsidR="007115F0" w:rsidRPr="00FD3DDA">
        <w:rPr>
          <w:lang w:val="es-ES"/>
        </w:rPr>
        <w:t>o</w:t>
      </w:r>
      <w:r w:rsidR="00CE0EF5">
        <w:rPr>
          <w:lang w:val="es-ES"/>
        </w:rPr>
        <w:t xml:space="preserve"> </w:t>
      </w:r>
      <w:r w:rsidRPr="00FD3DDA">
        <w:rPr>
          <w:lang w:val="es-ES"/>
        </w:rPr>
        <w:t>para las Estaciones Carboneras y Navales de 1903, que dio lugar a la ocupac</w:t>
      </w:r>
      <w:r w:rsidR="007115F0" w:rsidRPr="00FD3DDA">
        <w:rPr>
          <w:lang w:val="es-ES"/>
        </w:rPr>
        <w:t>ión</w:t>
      </w:r>
      <w:r w:rsidRPr="00FD3DDA">
        <w:rPr>
          <w:lang w:val="es-ES"/>
        </w:rPr>
        <w:t xml:space="preserve"> de esta porc</w:t>
      </w:r>
      <w:r w:rsidR="007115F0" w:rsidRPr="00FD3DDA">
        <w:rPr>
          <w:lang w:val="es-ES"/>
        </w:rPr>
        <w:t>ió</w:t>
      </w:r>
      <w:r w:rsidRPr="00FD3DDA">
        <w:rPr>
          <w:lang w:val="es-ES"/>
        </w:rPr>
        <w:t>n del ter</w:t>
      </w:r>
      <w:r w:rsidR="007115F0" w:rsidRPr="00FD3DDA">
        <w:rPr>
          <w:lang w:val="es-ES"/>
        </w:rPr>
        <w:t>r</w:t>
      </w:r>
      <w:r w:rsidRPr="00FD3DDA">
        <w:rPr>
          <w:lang w:val="es-ES"/>
        </w:rPr>
        <w:t>itori</w:t>
      </w:r>
      <w:r w:rsidR="007115F0" w:rsidRPr="00FD3DDA">
        <w:rPr>
          <w:lang w:val="es-ES"/>
        </w:rPr>
        <w:t>o</w:t>
      </w:r>
      <w:r w:rsidRPr="00FD3DDA">
        <w:rPr>
          <w:lang w:val="es-ES"/>
        </w:rPr>
        <w:t xml:space="preserve"> cubano por los Est</w:t>
      </w:r>
      <w:r w:rsidR="007115F0" w:rsidRPr="00FD3DDA">
        <w:rPr>
          <w:lang w:val="es-ES"/>
        </w:rPr>
        <w:t>a</w:t>
      </w:r>
      <w:r w:rsidRPr="00FD3DDA">
        <w:rPr>
          <w:lang w:val="es-ES"/>
        </w:rPr>
        <w:t>das Unidos, y del Tra</w:t>
      </w:r>
      <w:r w:rsidR="007115F0" w:rsidRPr="00FD3DDA">
        <w:rPr>
          <w:lang w:val="es-ES"/>
        </w:rPr>
        <w:t>ta</w:t>
      </w:r>
      <w:r w:rsidRPr="00FD3DDA">
        <w:rPr>
          <w:lang w:val="es-ES"/>
        </w:rPr>
        <w:t>do de Rel</w:t>
      </w:r>
      <w:r w:rsidR="007115F0" w:rsidRPr="00FD3DDA">
        <w:rPr>
          <w:lang w:val="es-ES"/>
        </w:rPr>
        <w:t>a</w:t>
      </w:r>
      <w:r w:rsidRPr="00FD3DDA">
        <w:rPr>
          <w:lang w:val="es-ES"/>
        </w:rPr>
        <w:t>ciones entre la Rep</w:t>
      </w:r>
      <w:r w:rsidR="007115F0" w:rsidRPr="00FD3DDA">
        <w:rPr>
          <w:lang w:val="es-ES"/>
        </w:rPr>
        <w:t>ú</w:t>
      </w:r>
      <w:r w:rsidRPr="00FD3DDA">
        <w:rPr>
          <w:lang w:val="es-ES"/>
        </w:rPr>
        <w:t>bli</w:t>
      </w:r>
      <w:r w:rsidR="007115F0" w:rsidRPr="00FD3DDA">
        <w:rPr>
          <w:lang w:val="es-ES"/>
        </w:rPr>
        <w:t>c</w:t>
      </w:r>
      <w:r w:rsidRPr="00FD3DDA">
        <w:rPr>
          <w:lang w:val="es-ES"/>
        </w:rPr>
        <w:t>a de Cuba y los Estado</w:t>
      </w:r>
      <w:r w:rsidR="00AB197F">
        <w:rPr>
          <w:lang w:val="es-ES"/>
        </w:rPr>
        <w:t>s</w:t>
      </w:r>
      <w:r w:rsidRPr="00FD3DDA">
        <w:rPr>
          <w:lang w:val="es-ES"/>
        </w:rPr>
        <w:t xml:space="preserve"> Unidos de Améric</w:t>
      </w:r>
      <w:r w:rsidR="007115F0" w:rsidRPr="00FD3DDA">
        <w:rPr>
          <w:lang w:val="es-ES"/>
        </w:rPr>
        <w:t>a</w:t>
      </w:r>
      <w:r w:rsidRPr="00FD3DDA">
        <w:rPr>
          <w:lang w:val="es-ES"/>
        </w:rPr>
        <w:t xml:space="preserve"> de 1934, el cual ratificó la permanencia de la Base Naval de los Estados Unidos en Guantánamo, y desde 1959, el gobierno cubano ha reclamado al gobierno estadounidense la devoluc</w:t>
      </w:r>
      <w:r w:rsidR="007115F0" w:rsidRPr="00FD3DDA">
        <w:rPr>
          <w:lang w:val="es-ES"/>
        </w:rPr>
        <w:t>ió</w:t>
      </w:r>
      <w:r w:rsidRPr="00FD3DDA">
        <w:rPr>
          <w:lang w:val="es-ES"/>
        </w:rPr>
        <w:t>n de ese espacio del territorio cubano ocupado ilegalmente contra la voluntad de su pueblo.</w:t>
      </w:r>
    </w:p>
    <w:p w:rsidR="001738BA" w:rsidRPr="00FD3DDA" w:rsidRDefault="001738BA" w:rsidP="004141C1">
      <w:pPr>
        <w:pStyle w:val="SingleTxtG"/>
        <w:ind w:firstLine="567"/>
        <w:rPr>
          <w:lang w:val="es-ES"/>
        </w:rPr>
      </w:pPr>
      <w:r w:rsidRPr="00FD3DDA">
        <w:rPr>
          <w:lang w:val="es-ES"/>
        </w:rPr>
        <w:t xml:space="preserve">Los usos que el Gobierno de </w:t>
      </w:r>
      <w:r w:rsidR="00AB197F">
        <w:rPr>
          <w:lang w:val="es-ES"/>
        </w:rPr>
        <w:t xml:space="preserve">los </w:t>
      </w:r>
      <w:r w:rsidRPr="00FD3DDA">
        <w:rPr>
          <w:lang w:val="es-ES"/>
        </w:rPr>
        <w:t>Estados Unidos ha dado a la Base Naval en Guantánamo ni siquiera están previstos en los espurios tratados antes mencionados.</w:t>
      </w:r>
    </w:p>
    <w:p w:rsidR="001738BA" w:rsidRPr="00FD3DDA" w:rsidRDefault="001738BA" w:rsidP="004141C1">
      <w:pPr>
        <w:pStyle w:val="SingleTxtG"/>
        <w:ind w:firstLine="567"/>
        <w:rPr>
          <w:lang w:val="es-ES"/>
        </w:rPr>
      </w:pPr>
      <w:r w:rsidRPr="00FD3DDA">
        <w:rPr>
          <w:lang w:val="es-ES"/>
        </w:rPr>
        <w:t>El Gobierno de Cuba ha expresado su profunda pre</w:t>
      </w:r>
      <w:r w:rsidR="007115F0" w:rsidRPr="00FD3DDA">
        <w:rPr>
          <w:lang w:val="es-ES"/>
        </w:rPr>
        <w:t>ocupación</w:t>
      </w:r>
      <w:r w:rsidRPr="00FD3DDA">
        <w:rPr>
          <w:lang w:val="es-ES"/>
        </w:rPr>
        <w:t xml:space="preserve"> por el limbo jurídico que sustenta la permanente y atroz violac</w:t>
      </w:r>
      <w:r w:rsidR="00BA2990" w:rsidRPr="00FD3DDA">
        <w:rPr>
          <w:lang w:val="es-ES"/>
        </w:rPr>
        <w:t>ión</w:t>
      </w:r>
      <w:r w:rsidRPr="00FD3DDA">
        <w:rPr>
          <w:lang w:val="es-ES"/>
        </w:rPr>
        <w:t xml:space="preserve"> por el </w:t>
      </w:r>
      <w:r w:rsidR="00BA2990" w:rsidRPr="00FD3DDA">
        <w:rPr>
          <w:lang w:val="es-ES"/>
        </w:rPr>
        <w:t xml:space="preserve">Gobierno de los Estados Unidos de los derechos humanos de los prisioneros confinados en el centro de detención en la ilegal Base </w:t>
      </w:r>
      <w:r w:rsidR="00BA2990" w:rsidRPr="00AB197F">
        <w:rPr>
          <w:lang w:val="es-ES"/>
        </w:rPr>
        <w:t>Naval de Guantánamo com</w:t>
      </w:r>
      <w:r w:rsidR="00AB197F" w:rsidRPr="004141C1">
        <w:rPr>
          <w:lang w:val="es-ES"/>
        </w:rPr>
        <w:t>o</w:t>
      </w:r>
      <w:r w:rsidR="00BA2990" w:rsidRPr="00AB197F">
        <w:rPr>
          <w:lang w:val="es-ES"/>
        </w:rPr>
        <w:t xml:space="preserve"> un centro de torturas y muertes en custodia</w:t>
      </w:r>
      <w:r w:rsidR="00555ACD" w:rsidRPr="00AB197F">
        <w:rPr>
          <w:lang w:val="es-ES"/>
        </w:rPr>
        <w:t>.</w:t>
      </w:r>
    </w:p>
    <w:p w:rsidR="00351B0A" w:rsidRPr="004141C1" w:rsidRDefault="00555ACD">
      <w:pPr>
        <w:pStyle w:val="SingleTxtG"/>
        <w:spacing w:before="240" w:after="0"/>
        <w:jc w:val="center"/>
        <w:rPr>
          <w:u w:val="single"/>
          <w:lang w:val="es-ES"/>
        </w:rPr>
      </w:pPr>
      <w:r>
        <w:rPr>
          <w:u w:val="single"/>
          <w:lang w:val="es-ES"/>
        </w:rPr>
        <w:tab/>
      </w:r>
      <w:r>
        <w:rPr>
          <w:u w:val="single"/>
          <w:lang w:val="es-ES"/>
        </w:rPr>
        <w:tab/>
      </w:r>
      <w:r>
        <w:rPr>
          <w:u w:val="single"/>
          <w:lang w:val="es-ES"/>
        </w:rPr>
        <w:tab/>
      </w:r>
    </w:p>
    <w:sectPr w:rsidR="00351B0A" w:rsidRPr="004141C1" w:rsidSect="0072036D">
      <w:headerReference w:type="even" r:id="rId14"/>
      <w:headerReference w:type="default" r:id="rId15"/>
      <w:footerReference w:type="even" r:id="rId16"/>
      <w:footerReference w:type="default" r:id="rId17"/>
      <w:footerReference w:type="first" r:id="rId18"/>
      <w:endnotePr>
        <w:numFmt w:val="decimal"/>
      </w:endnotePr>
      <w:type w:val="continuous"/>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7T08:56:00Z" w:initials="Start">
    <w:p w:rsidR="0072036D" w:rsidRDefault="007203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NO&gt;&gt;N1515430E&lt;&lt;ODS JOB NO&gt;&gt;</w:t>
      </w:r>
    </w:p>
    <w:p w:rsidR="0072036D" w:rsidRDefault="0072036D">
      <w:pPr>
        <w:pStyle w:val="CommentText"/>
      </w:pPr>
      <w:r>
        <w:t>&lt;&lt;ODS DOC SYMBOL1&gt;&gt;A/HRC/30/36&lt;&lt;ODS DOC SYMBOL1&gt;&gt;</w:t>
      </w:r>
    </w:p>
    <w:p w:rsidR="0072036D" w:rsidRDefault="0072036D">
      <w:pPr>
        <w:pStyle w:val="CommentText"/>
      </w:pPr>
      <w:r>
        <w:t>&lt;&lt;ODS DOC SYMBOL2&gt;&gt;&lt;&lt;ODS DOC SYMBOL2&gt;&gt;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50C" w:rsidRDefault="0002050C"/>
  </w:endnote>
  <w:endnote w:type="continuationSeparator" w:id="0">
    <w:p w:rsidR="0002050C" w:rsidRDefault="0002050C"/>
  </w:endnote>
  <w:endnote w:type="continuationNotice" w:id="1">
    <w:p w:rsidR="0002050C" w:rsidRDefault="00020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Barcode 3 of 9 by request">
    <w:altName w:val="Andale Mono"/>
    <w:charset w:val="00"/>
    <w:family w:val="swiss"/>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C7" w:rsidRPr="00925ACE" w:rsidRDefault="00451FC7" w:rsidP="00925ACE">
    <w:pPr>
      <w:pStyle w:val="Footer"/>
      <w:tabs>
        <w:tab w:val="right" w:pos="9598"/>
      </w:tabs>
    </w:pPr>
    <w:r w:rsidRPr="00925ACE">
      <w:rPr>
        <w:b/>
        <w:sz w:val="18"/>
      </w:rPr>
      <w:fldChar w:fldCharType="begin"/>
    </w:r>
    <w:r w:rsidRPr="00925ACE">
      <w:rPr>
        <w:b/>
        <w:sz w:val="18"/>
      </w:rPr>
      <w:instrText xml:space="preserve"> PAGE</w:instrText>
    </w:r>
    <w:r w:rsidRPr="00215F2E">
      <w:rPr>
        <w:b/>
        <w:sz w:val="18"/>
      </w:rPr>
      <w:instrText xml:space="preserve"> </w:instrText>
    </w:r>
    <w:r w:rsidRPr="00925ACE">
      <w:rPr>
        <w:b/>
        <w:sz w:val="18"/>
      </w:rPr>
      <w:instrText xml:space="preserve">\* MERGEFORMAT </w:instrText>
    </w:r>
    <w:r w:rsidRPr="00925ACE">
      <w:rPr>
        <w:b/>
        <w:sz w:val="18"/>
      </w:rPr>
      <w:fldChar w:fldCharType="separate"/>
    </w:r>
    <w:r w:rsidR="00843786">
      <w:rPr>
        <w:b/>
        <w:noProof/>
        <w:sz w:val="18"/>
      </w:rPr>
      <w:t>18</w:t>
    </w:r>
    <w:r w:rsidRPr="00925ACE">
      <w:rPr>
        <w:b/>
        <w:sz w:val="18"/>
      </w:rPr>
      <w:fldChar w:fldCharType="end"/>
    </w:r>
    <w:r>
      <w:rPr>
        <w:sz w:val="18"/>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C7" w:rsidRPr="00925ACE" w:rsidRDefault="00451FC7" w:rsidP="00925ACE">
    <w:pPr>
      <w:pStyle w:val="Footer"/>
      <w:tabs>
        <w:tab w:val="right" w:pos="9598"/>
      </w:tabs>
      <w:rPr>
        <w:b/>
        <w:sz w:val="18"/>
      </w:rPr>
    </w:pPr>
    <w:r>
      <w:tab/>
    </w:r>
    <w:r w:rsidRPr="00925ACE">
      <w:rPr>
        <w:b/>
        <w:sz w:val="18"/>
      </w:rPr>
      <w:fldChar w:fldCharType="begin"/>
    </w:r>
    <w:r w:rsidRPr="00925ACE">
      <w:rPr>
        <w:b/>
        <w:sz w:val="18"/>
      </w:rPr>
      <w:instrText xml:space="preserve"> PAGE</w:instrText>
    </w:r>
    <w:r w:rsidRPr="00215F2E">
      <w:rPr>
        <w:b/>
        <w:sz w:val="18"/>
      </w:rPr>
      <w:instrText xml:space="preserve"> </w:instrText>
    </w:r>
    <w:r w:rsidRPr="00925ACE">
      <w:rPr>
        <w:b/>
        <w:sz w:val="18"/>
      </w:rPr>
      <w:instrText xml:space="preserve">\* MERGEFORMAT </w:instrText>
    </w:r>
    <w:r w:rsidRPr="00925ACE">
      <w:rPr>
        <w:b/>
        <w:sz w:val="18"/>
      </w:rPr>
      <w:fldChar w:fldCharType="separate"/>
    </w:r>
    <w:r w:rsidR="00843786">
      <w:rPr>
        <w:b/>
        <w:noProof/>
        <w:sz w:val="18"/>
      </w:rPr>
      <w:t>19</w:t>
    </w:r>
    <w:r w:rsidRPr="00925ACE">
      <w:rPr>
        <w:b/>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72036D" w:rsidTr="0072036D">
      <w:tc>
        <w:tcPr>
          <w:tcW w:w="3614" w:type="dxa"/>
          <w:shd w:val="clear" w:color="auto" w:fill="auto"/>
        </w:tcPr>
        <w:p w:rsidR="0072036D" w:rsidRDefault="0072036D" w:rsidP="0072036D">
          <w:pPr>
            <w:pStyle w:val="Footer"/>
            <w:rPr>
              <w:sz w:val="20"/>
            </w:rPr>
          </w:pPr>
          <w:r>
            <w:rPr>
              <w:noProof/>
              <w:sz w:val="20"/>
              <w:lang w:val="en-US"/>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36&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6&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GE.15-11705(E)</w:t>
          </w:r>
        </w:p>
        <w:p w:rsidR="0072036D" w:rsidRPr="0072036D" w:rsidRDefault="0072036D" w:rsidP="0072036D">
          <w:pPr>
            <w:pStyle w:val="Footer"/>
            <w:rPr>
              <w:rFonts w:ascii="Barcode 3 of 9 by request" w:hAnsi="Barcode 3 of 9 by request"/>
              <w:sz w:val="24"/>
            </w:rPr>
          </w:pPr>
          <w:r>
            <w:rPr>
              <w:rFonts w:ascii="Barcode 3 of 9 by request" w:hAnsi="Barcode 3 of 9 by request"/>
              <w:sz w:val="24"/>
            </w:rPr>
            <w:t>*1511705*</w:t>
          </w:r>
        </w:p>
      </w:tc>
      <w:tc>
        <w:tcPr>
          <w:tcW w:w="4752" w:type="dxa"/>
          <w:shd w:val="clear" w:color="auto" w:fill="auto"/>
        </w:tcPr>
        <w:p w:rsidR="0072036D" w:rsidRDefault="0072036D" w:rsidP="0072036D">
          <w:pPr>
            <w:pStyle w:val="Footer"/>
            <w:spacing w:line="240" w:lineRule="atLeast"/>
            <w:jc w:val="right"/>
            <w:rPr>
              <w:sz w:val="20"/>
            </w:rPr>
          </w:pPr>
          <w:r>
            <w:rPr>
              <w:noProof/>
              <w:sz w:val="20"/>
              <w:lang w:val="en-US"/>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72036D" w:rsidRPr="0072036D" w:rsidRDefault="0072036D" w:rsidP="0072036D">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50C" w:rsidRDefault="0002050C">
      <w:pPr>
        <w:tabs>
          <w:tab w:val="right" w:pos="2155"/>
        </w:tabs>
        <w:spacing w:after="80"/>
        <w:ind w:left="680"/>
        <w:rPr>
          <w:u w:val="single"/>
        </w:rPr>
      </w:pPr>
      <w:r>
        <w:rPr>
          <w:u w:val="single"/>
        </w:rPr>
        <w:tab/>
      </w:r>
    </w:p>
  </w:footnote>
  <w:footnote w:type="continuationSeparator" w:id="0">
    <w:p w:rsidR="0002050C" w:rsidRDefault="0002050C">
      <w:pPr>
        <w:tabs>
          <w:tab w:val="left" w:pos="2155"/>
        </w:tabs>
        <w:spacing w:after="80"/>
        <w:ind w:left="680"/>
        <w:rPr>
          <w:u w:val="single"/>
        </w:rPr>
      </w:pPr>
      <w:r>
        <w:rPr>
          <w:u w:val="single"/>
        </w:rPr>
        <w:tab/>
      </w:r>
    </w:p>
  </w:footnote>
  <w:footnote w:type="continuationNotice" w:id="1">
    <w:p w:rsidR="0002050C" w:rsidRDefault="0002050C"/>
  </w:footnote>
  <w:footnote w:id="2">
    <w:p w:rsidR="00451FC7" w:rsidRPr="00E535ED" w:rsidRDefault="00451FC7" w:rsidP="00C27C2C">
      <w:pPr>
        <w:pStyle w:val="FootnoteText"/>
      </w:pPr>
      <w:r>
        <w:tab/>
      </w:r>
      <w:r w:rsidRPr="00E535ED">
        <w:rPr>
          <w:rStyle w:val="FootnoteReference"/>
        </w:rPr>
        <w:footnoteRef/>
      </w:r>
      <w:r>
        <w:tab/>
        <w:t>For communications reports of the special procedures, see</w:t>
      </w:r>
      <w:r w:rsidRPr="00E535ED">
        <w:t xml:space="preserve"> www.ohchr.org/EN/HRBodies/SP/Pages/CommunicationsreportsSP.aspx</w:t>
      </w:r>
      <w:r>
        <w:t>.</w:t>
      </w:r>
    </w:p>
  </w:footnote>
  <w:footnote w:id="3">
    <w:p w:rsidR="00451FC7" w:rsidRPr="00BA71B0" w:rsidRDefault="00451FC7" w:rsidP="00837BEC">
      <w:pPr>
        <w:tabs>
          <w:tab w:val="right" w:pos="1021"/>
        </w:tabs>
        <w:spacing w:line="220" w:lineRule="exact"/>
        <w:ind w:left="1134" w:right="1134" w:hanging="1134"/>
        <w:rPr>
          <w:sz w:val="18"/>
          <w:szCs w:val="18"/>
          <w:lang w:val="en-AU"/>
        </w:rPr>
      </w:pPr>
      <w:r>
        <w:rPr>
          <w:sz w:val="18"/>
          <w:szCs w:val="18"/>
          <w:lang w:val="en-AU"/>
        </w:rPr>
        <w:tab/>
      </w:r>
      <w:r w:rsidRPr="00BA71B0">
        <w:rPr>
          <w:rStyle w:val="FootnoteReference"/>
          <w:szCs w:val="18"/>
          <w:lang w:val="en-AU"/>
        </w:rPr>
        <w:footnoteRef/>
      </w:r>
      <w:r w:rsidRPr="00BA71B0">
        <w:rPr>
          <w:sz w:val="18"/>
          <w:szCs w:val="18"/>
          <w:lang w:val="en-AU"/>
        </w:rPr>
        <w:t xml:space="preserve"> </w:t>
      </w:r>
      <w:r>
        <w:rPr>
          <w:sz w:val="18"/>
          <w:szCs w:val="18"/>
          <w:lang w:val="en-AU"/>
        </w:rPr>
        <w:tab/>
        <w:t xml:space="preserve">See, for example, </w:t>
      </w:r>
      <w:r w:rsidRPr="0069449D">
        <w:rPr>
          <w:rStyle w:val="FootnoteTextChar"/>
        </w:rPr>
        <w:t>Julie Hannah</w:t>
      </w:r>
      <w:r>
        <w:rPr>
          <w:rStyle w:val="FootnoteTextChar"/>
        </w:rPr>
        <w:t xml:space="preserve"> and</w:t>
      </w:r>
      <w:r w:rsidRPr="0069449D">
        <w:rPr>
          <w:rStyle w:val="FootnoteTextChar"/>
        </w:rPr>
        <w:t xml:space="preserve"> </w:t>
      </w:r>
      <w:proofErr w:type="spellStart"/>
      <w:r w:rsidRPr="0069449D">
        <w:rPr>
          <w:rStyle w:val="FootnoteTextChar"/>
        </w:rPr>
        <w:t>Nahir</w:t>
      </w:r>
      <w:proofErr w:type="spellEnd"/>
      <w:r w:rsidRPr="0069449D">
        <w:rPr>
          <w:rStyle w:val="FootnoteTextChar"/>
        </w:rPr>
        <w:t xml:space="preserve"> de la Silva</w:t>
      </w:r>
      <w:r>
        <w:rPr>
          <w:rStyle w:val="FootnoteTextChar"/>
        </w:rPr>
        <w:t>,</w:t>
      </w:r>
      <w:r w:rsidRPr="0069449D">
        <w:rPr>
          <w:rStyle w:val="FootnoteTextChar"/>
        </w:rPr>
        <w:t xml:space="preserve"> “Human </w:t>
      </w:r>
      <w:r>
        <w:rPr>
          <w:rStyle w:val="FootnoteTextChar"/>
        </w:rPr>
        <w:t>r</w:t>
      </w:r>
      <w:r w:rsidRPr="0069449D">
        <w:rPr>
          <w:rStyle w:val="FootnoteTextChar"/>
        </w:rPr>
        <w:t xml:space="preserve">ights, drug control and the UN special procedures: </w:t>
      </w:r>
      <w:r>
        <w:rPr>
          <w:rStyle w:val="FootnoteTextChar"/>
        </w:rPr>
        <w:t>p</w:t>
      </w:r>
      <w:r w:rsidRPr="0069449D">
        <w:rPr>
          <w:rStyle w:val="FootnoteTextChar"/>
        </w:rPr>
        <w:t xml:space="preserve">reventing arbitrary detention through the promotion of human rights in drug control” </w:t>
      </w:r>
      <w:r>
        <w:rPr>
          <w:rStyle w:val="FootnoteTextChar"/>
        </w:rPr>
        <w:t>(</w:t>
      </w:r>
      <w:r w:rsidRPr="0069449D">
        <w:rPr>
          <w:rStyle w:val="FootnoteTextChar"/>
        </w:rPr>
        <w:t>International Centre on Human Rights and Drug Policy</w:t>
      </w:r>
      <w:r>
        <w:rPr>
          <w:rStyle w:val="FootnoteTextChar"/>
        </w:rPr>
        <w:t>,</w:t>
      </w:r>
      <w:r w:rsidRPr="0069449D">
        <w:rPr>
          <w:rStyle w:val="FootnoteTextChar"/>
        </w:rPr>
        <w:t xml:space="preserve"> 2015)</w:t>
      </w:r>
      <w:r>
        <w:rPr>
          <w:rStyle w:val="FootnoteTextChar"/>
        </w:rPr>
        <w:t>.</w:t>
      </w:r>
      <w:r w:rsidRPr="0069449D">
        <w:rPr>
          <w:rStyle w:val="FootnoteTextChar"/>
        </w:rPr>
        <w:t xml:space="preserve"> </w:t>
      </w:r>
      <w:r>
        <w:rPr>
          <w:rStyle w:val="FootnoteTextChar"/>
        </w:rPr>
        <w:t>A</w:t>
      </w:r>
      <w:r w:rsidRPr="0069449D">
        <w:rPr>
          <w:rStyle w:val="FootnoteTextChar"/>
        </w:rPr>
        <w:t xml:space="preserve">vailable </w:t>
      </w:r>
      <w:r>
        <w:rPr>
          <w:rStyle w:val="FootnoteTextChar"/>
        </w:rPr>
        <w:t>from</w:t>
      </w:r>
      <w:r w:rsidRPr="0069449D">
        <w:rPr>
          <w:rStyle w:val="FootnoteTextChar"/>
        </w:rPr>
        <w:t xml:space="preserve"> </w:t>
      </w:r>
      <w:r w:rsidRPr="004141C1">
        <w:t>www.hr-dp.org/files/2015/02/02/WGAD.FINAL_</w:t>
      </w:r>
      <w:proofErr w:type="gramStart"/>
      <w:r w:rsidRPr="004141C1">
        <w:t>.30</w:t>
      </w:r>
      <w:proofErr w:type="gramEnd"/>
      <w:r w:rsidRPr="004141C1">
        <w:t>_Jan_2015_.pdf</w:t>
      </w:r>
      <w:r w:rsidRPr="009A505B">
        <w:rPr>
          <w:sz w:val="18"/>
          <w:szCs w:val="18"/>
          <w:lang w:val="en-AU"/>
        </w:rPr>
        <w:t xml:space="preserve">. </w:t>
      </w:r>
      <w:r w:rsidRPr="0069449D">
        <w:rPr>
          <w:rStyle w:val="FootnoteTextChar"/>
        </w:rPr>
        <w:t xml:space="preserve">Of the </w:t>
      </w:r>
      <w:r>
        <w:rPr>
          <w:rStyle w:val="FootnoteTextChar"/>
        </w:rPr>
        <w:t>64</w:t>
      </w:r>
      <w:r w:rsidRPr="0069449D">
        <w:rPr>
          <w:rStyle w:val="FootnoteTextChar"/>
        </w:rPr>
        <w:t xml:space="preserve"> reports of the Working Group, including annual and country reports, </w:t>
      </w:r>
      <w:r>
        <w:rPr>
          <w:rStyle w:val="FootnoteTextChar"/>
        </w:rPr>
        <w:t>35</w:t>
      </w:r>
      <w:r w:rsidRPr="0069449D">
        <w:rPr>
          <w:rStyle w:val="FootnoteTextChar"/>
        </w:rPr>
        <w:t xml:space="preserve"> have made </w:t>
      </w:r>
      <w:r>
        <w:rPr>
          <w:rStyle w:val="FootnoteTextChar"/>
        </w:rPr>
        <w:t xml:space="preserve">explicit </w:t>
      </w:r>
      <w:r w:rsidRPr="0069449D">
        <w:rPr>
          <w:rStyle w:val="FootnoteTextChar"/>
        </w:rPr>
        <w:t>reference to drug</w:t>
      </w:r>
      <w:r>
        <w:rPr>
          <w:rStyle w:val="FootnoteTextChar"/>
        </w:rPr>
        <w:t>-</w:t>
      </w:r>
      <w:r w:rsidRPr="0069449D">
        <w:rPr>
          <w:rStyle w:val="FootnoteTextChar"/>
        </w:rPr>
        <w:t>related practices.</w:t>
      </w:r>
    </w:p>
  </w:footnote>
  <w:footnote w:id="4">
    <w:p w:rsidR="00451FC7" w:rsidRPr="00990910" w:rsidRDefault="00451FC7" w:rsidP="00347D23">
      <w:pPr>
        <w:tabs>
          <w:tab w:val="right" w:pos="1021"/>
        </w:tabs>
        <w:spacing w:line="220" w:lineRule="exact"/>
        <w:ind w:left="1134" w:right="1134" w:hanging="1134"/>
        <w:rPr>
          <w:sz w:val="18"/>
          <w:szCs w:val="18"/>
          <w:lang w:val="en-AU"/>
        </w:rPr>
      </w:pPr>
      <w:r>
        <w:rPr>
          <w:sz w:val="18"/>
          <w:szCs w:val="18"/>
          <w:lang w:val="en-US"/>
        </w:rPr>
        <w:tab/>
      </w:r>
      <w:r w:rsidRPr="00BA71B0">
        <w:rPr>
          <w:rStyle w:val="FootnoteReference"/>
          <w:szCs w:val="18"/>
        </w:rPr>
        <w:footnoteRef/>
      </w:r>
      <w:r w:rsidRPr="00BA71B0">
        <w:rPr>
          <w:sz w:val="18"/>
          <w:szCs w:val="18"/>
          <w:lang w:val="en-US"/>
        </w:rPr>
        <w:t xml:space="preserve"> </w:t>
      </w:r>
      <w:r>
        <w:rPr>
          <w:sz w:val="18"/>
          <w:szCs w:val="18"/>
          <w:lang w:val="en-US"/>
        </w:rPr>
        <w:tab/>
        <w:t xml:space="preserve">See, for </w:t>
      </w:r>
      <w:r w:rsidRPr="00990910">
        <w:rPr>
          <w:sz w:val="18"/>
          <w:szCs w:val="18"/>
          <w:lang w:val="en-US"/>
        </w:rPr>
        <w:t xml:space="preserve">example, </w:t>
      </w:r>
      <w:r w:rsidRPr="00990910">
        <w:rPr>
          <w:rStyle w:val="FootnoteTextChar"/>
        </w:rPr>
        <w:t>E/CN.4/1998/44/Add.2, paras. </w:t>
      </w:r>
      <w:proofErr w:type="gramStart"/>
      <w:r w:rsidRPr="00990910">
        <w:rPr>
          <w:rStyle w:val="FootnoteTextChar"/>
        </w:rPr>
        <w:t>81 and 97–99 and A/HRC/27/48/Add.3, paras.</w:t>
      </w:r>
      <w:proofErr w:type="gramEnd"/>
      <w:r w:rsidRPr="00990910">
        <w:rPr>
          <w:rStyle w:val="FootnoteTextChar"/>
        </w:rPr>
        <w:t> 111–119.</w:t>
      </w:r>
    </w:p>
  </w:footnote>
  <w:footnote w:id="5">
    <w:p w:rsidR="00451FC7" w:rsidRPr="00990910" w:rsidRDefault="00451FC7" w:rsidP="00990910">
      <w:pPr>
        <w:tabs>
          <w:tab w:val="right" w:pos="1021"/>
        </w:tabs>
        <w:spacing w:line="220" w:lineRule="exact"/>
        <w:ind w:left="1134" w:right="1134" w:hanging="1134"/>
        <w:rPr>
          <w:sz w:val="18"/>
          <w:szCs w:val="18"/>
          <w:lang w:val="en-AU"/>
        </w:rPr>
      </w:pPr>
      <w:r w:rsidRPr="00990910">
        <w:rPr>
          <w:sz w:val="18"/>
          <w:szCs w:val="18"/>
          <w:lang w:val="en-AU"/>
        </w:rPr>
        <w:tab/>
      </w:r>
      <w:r w:rsidRPr="00990910">
        <w:rPr>
          <w:sz w:val="18"/>
          <w:szCs w:val="18"/>
          <w:vertAlign w:val="superscript"/>
          <w:lang w:val="en-AU"/>
        </w:rPr>
        <w:footnoteRef/>
      </w:r>
      <w:r w:rsidRPr="00990910">
        <w:rPr>
          <w:sz w:val="18"/>
          <w:szCs w:val="18"/>
          <w:lang w:val="en-AU"/>
        </w:rPr>
        <w:tab/>
      </w:r>
      <w:r w:rsidRPr="00990910">
        <w:rPr>
          <w:rStyle w:val="FootnoteTextChar"/>
        </w:rPr>
        <w:t>See, for example A/HRC/16/47/Add.3, A/HRC/4/40/Add.3, A/HRC/27/48/Add.3, E/CN.4/2004/3/Add.3, A/HRC/10/21/Add.3, E/CN.4/2006/7 and A/HRC/27/48.</w:t>
      </w:r>
    </w:p>
  </w:footnote>
  <w:footnote w:id="6">
    <w:p w:rsidR="00451FC7" w:rsidRPr="0069449D" w:rsidRDefault="00451FC7" w:rsidP="00990910">
      <w:pPr>
        <w:tabs>
          <w:tab w:val="right" w:pos="1021"/>
        </w:tabs>
        <w:spacing w:line="220" w:lineRule="exact"/>
        <w:ind w:left="1134" w:right="1134" w:hanging="1134"/>
        <w:rPr>
          <w:rStyle w:val="FootnoteTextChar"/>
        </w:rPr>
      </w:pPr>
      <w:r w:rsidRPr="00990910">
        <w:rPr>
          <w:sz w:val="18"/>
          <w:szCs w:val="18"/>
        </w:rPr>
        <w:tab/>
      </w:r>
      <w:r w:rsidRPr="00990910">
        <w:rPr>
          <w:rStyle w:val="FootnoteReference"/>
          <w:szCs w:val="18"/>
        </w:rPr>
        <w:footnoteRef/>
      </w:r>
      <w:r w:rsidRPr="00990910">
        <w:rPr>
          <w:sz w:val="18"/>
          <w:szCs w:val="18"/>
        </w:rPr>
        <w:tab/>
        <w:t>See, for example,</w:t>
      </w:r>
      <w:r w:rsidRPr="00990910">
        <w:rPr>
          <w:rStyle w:val="FootnoteTextChar"/>
        </w:rPr>
        <w:t xml:space="preserve"> A/HRC/4/40/Add.5, para. </w:t>
      </w:r>
      <w:r w:rsidRPr="004141C1">
        <w:rPr>
          <w:rStyle w:val="FootnoteTextChar"/>
          <w:lang w:val="es-ES"/>
        </w:rPr>
        <w:t>92, E/CN.4/1998/44/Add.2, para. 81, and A/HRC/27/48/Add.3, para. </w:t>
      </w:r>
      <w:r w:rsidRPr="00990910">
        <w:rPr>
          <w:rStyle w:val="FootnoteTextChar"/>
        </w:rPr>
        <w:t>111.</w:t>
      </w:r>
    </w:p>
  </w:footnote>
  <w:footnote w:id="7">
    <w:p w:rsidR="00451FC7" w:rsidRPr="00BA71B0" w:rsidRDefault="00451FC7" w:rsidP="0034328F">
      <w:pPr>
        <w:tabs>
          <w:tab w:val="right" w:pos="1021"/>
        </w:tabs>
        <w:spacing w:line="220" w:lineRule="exact"/>
        <w:ind w:left="1134" w:right="1134" w:hanging="1134"/>
        <w:rPr>
          <w:sz w:val="18"/>
          <w:szCs w:val="18"/>
          <w:lang w:val="en-US"/>
        </w:rPr>
      </w:pPr>
      <w:r>
        <w:rPr>
          <w:sz w:val="18"/>
          <w:szCs w:val="18"/>
          <w:lang w:val="en-US"/>
        </w:rPr>
        <w:tab/>
      </w:r>
      <w:r w:rsidRPr="00BA71B0">
        <w:rPr>
          <w:rStyle w:val="FootnoteReference"/>
          <w:szCs w:val="18"/>
        </w:rPr>
        <w:footnoteRef/>
      </w:r>
      <w:r>
        <w:rPr>
          <w:sz w:val="18"/>
          <w:szCs w:val="18"/>
          <w:lang w:val="en-US"/>
        </w:rPr>
        <w:tab/>
      </w:r>
      <w:r w:rsidRPr="0069449D">
        <w:rPr>
          <w:rStyle w:val="FootnoteTextChar"/>
        </w:rPr>
        <w:t xml:space="preserve">Nowhere in the three international drug control conventions (Single Convention on Narcotic Drugs, </w:t>
      </w:r>
      <w:r>
        <w:rPr>
          <w:rStyle w:val="FootnoteTextChar"/>
        </w:rPr>
        <w:t xml:space="preserve">1961; </w:t>
      </w:r>
      <w:r w:rsidRPr="0069449D">
        <w:rPr>
          <w:rStyle w:val="FootnoteTextChar"/>
        </w:rPr>
        <w:t xml:space="preserve">Convention on Psychotropic Substances, </w:t>
      </w:r>
      <w:r>
        <w:rPr>
          <w:rStyle w:val="FootnoteTextChar"/>
        </w:rPr>
        <w:t xml:space="preserve">1971; United Nations </w:t>
      </w:r>
      <w:r w:rsidRPr="0069449D">
        <w:rPr>
          <w:rStyle w:val="FootnoteTextChar"/>
        </w:rPr>
        <w:t xml:space="preserve">Convention against Illicit Traffic in Narcotic </w:t>
      </w:r>
      <w:r>
        <w:rPr>
          <w:rStyle w:val="FootnoteTextChar"/>
        </w:rPr>
        <w:t>Drugs and</w:t>
      </w:r>
      <w:r w:rsidRPr="0069449D">
        <w:rPr>
          <w:rStyle w:val="FootnoteTextChar"/>
        </w:rPr>
        <w:t xml:space="preserve"> Psychotropic Substances</w:t>
      </w:r>
      <w:r>
        <w:rPr>
          <w:rStyle w:val="FootnoteTextChar"/>
        </w:rPr>
        <w:t>, 1988</w:t>
      </w:r>
      <w:r w:rsidRPr="0069449D">
        <w:rPr>
          <w:rStyle w:val="FootnoteTextChar"/>
        </w:rPr>
        <w:t>) is compulsory treatment or involuntary commitment for drug use required</w:t>
      </w:r>
      <w:r>
        <w:rPr>
          <w:rStyle w:val="FootnoteTextChar"/>
        </w:rPr>
        <w:t>,</w:t>
      </w:r>
      <w:r w:rsidRPr="0069449D">
        <w:rPr>
          <w:rStyle w:val="FootnoteTextChar"/>
        </w:rPr>
        <w:t xml:space="preserve"> and throughout the treaties penal responses and the use of treatment is subject to international and domestic law. </w:t>
      </w:r>
      <w:r>
        <w:rPr>
          <w:rStyle w:val="FootnoteTextChar"/>
        </w:rPr>
        <w:t>For f</w:t>
      </w:r>
      <w:r w:rsidRPr="0069449D">
        <w:rPr>
          <w:rStyle w:val="FootnoteTextChar"/>
        </w:rPr>
        <w:t xml:space="preserve">urther </w:t>
      </w:r>
      <w:r>
        <w:rPr>
          <w:rStyle w:val="FootnoteTextChar"/>
        </w:rPr>
        <w:t xml:space="preserve">discussion, see </w:t>
      </w:r>
      <w:r w:rsidRPr="0069449D">
        <w:rPr>
          <w:rStyle w:val="FootnoteTextChar"/>
        </w:rPr>
        <w:t>Hannah and de la Silva,</w:t>
      </w:r>
      <w:r>
        <w:rPr>
          <w:rStyle w:val="FootnoteTextChar"/>
        </w:rPr>
        <w:t xml:space="preserve"> “</w:t>
      </w:r>
      <w:r w:rsidRPr="002828A7">
        <w:rPr>
          <w:rFonts w:eastAsia="SimSun"/>
          <w:sz w:val="18"/>
          <w:lang w:val="en-US" w:eastAsia="zh-CN"/>
        </w:rPr>
        <w:t>Human rights, drug control</w:t>
      </w:r>
      <w:r>
        <w:rPr>
          <w:rFonts w:eastAsia="SimSun"/>
          <w:sz w:val="18"/>
          <w:lang w:val="en-US" w:eastAsia="zh-CN"/>
        </w:rPr>
        <w:t>”</w:t>
      </w:r>
      <w:r w:rsidRPr="0069449D">
        <w:rPr>
          <w:rStyle w:val="FootnoteTextChar"/>
        </w:rPr>
        <w:t>.</w:t>
      </w:r>
      <w:r w:rsidRPr="00BA71B0">
        <w:rPr>
          <w:i/>
          <w:sz w:val="18"/>
          <w:szCs w:val="18"/>
          <w:lang w:val="en-US"/>
        </w:rPr>
        <w:t xml:space="preserve"> </w:t>
      </w:r>
    </w:p>
  </w:footnote>
  <w:footnote w:id="8">
    <w:p w:rsidR="00451FC7" w:rsidRPr="00BA71B0" w:rsidRDefault="00451FC7" w:rsidP="009A505B">
      <w:pPr>
        <w:tabs>
          <w:tab w:val="right" w:pos="1021"/>
        </w:tabs>
        <w:spacing w:line="220" w:lineRule="exact"/>
        <w:ind w:left="1134" w:right="1134" w:hanging="1134"/>
        <w:rPr>
          <w:sz w:val="18"/>
          <w:szCs w:val="18"/>
          <w:lang w:val="en-AU"/>
        </w:rPr>
      </w:pPr>
      <w:r>
        <w:rPr>
          <w:sz w:val="18"/>
          <w:szCs w:val="18"/>
          <w:lang w:val="en-AU"/>
        </w:rPr>
        <w:tab/>
      </w:r>
      <w:r w:rsidRPr="0069449D">
        <w:rPr>
          <w:rStyle w:val="FootnoteReference"/>
        </w:rPr>
        <w:footnoteRef/>
      </w:r>
      <w:r>
        <w:rPr>
          <w:sz w:val="18"/>
          <w:szCs w:val="18"/>
          <w:lang w:val="en-AU"/>
        </w:rPr>
        <w:tab/>
      </w:r>
      <w:r w:rsidRPr="0080199E">
        <w:rPr>
          <w:rStyle w:val="FootnoteTextChar"/>
        </w:rPr>
        <w:t>In the State of São Paulo, compulsory confinement of addicts of crack cocaine and other drugs has been introduced in an effort to bring users on the street into detention. At the time of the Working Group’s visit</w:t>
      </w:r>
      <w:r>
        <w:rPr>
          <w:rStyle w:val="FootnoteTextChar"/>
        </w:rPr>
        <w:t xml:space="preserve"> to </w:t>
      </w:r>
      <w:r w:rsidRPr="002828A7">
        <w:rPr>
          <w:rFonts w:eastAsia="SimSun"/>
          <w:sz w:val="18"/>
          <w:lang w:val="en-US" w:eastAsia="zh-CN"/>
        </w:rPr>
        <w:t>São Paulo</w:t>
      </w:r>
      <w:r w:rsidRPr="0080199E">
        <w:rPr>
          <w:rStyle w:val="FootnoteTextChar"/>
        </w:rPr>
        <w:t>, 5,335 persons were detained in compulsory confinement. On 4 January 2013, the Governor of the State of São Paulo announced a new regional plan to fight drug consumption whereby crack users would be put in compulsory psychiatric confinement. To manage confinement, a standing court was established. In a police operation in a neighborhood of São Paulo, more than 2,000 crack users were arrested.</w:t>
      </w:r>
      <w:r>
        <w:rPr>
          <w:rStyle w:val="FootnoteTextChar"/>
        </w:rPr>
        <w:t xml:space="preserve"> (</w:t>
      </w:r>
      <w:r w:rsidRPr="002828A7">
        <w:rPr>
          <w:rFonts w:eastAsia="SimSun"/>
          <w:sz w:val="18"/>
          <w:lang w:val="en-US" w:eastAsia="zh-CN"/>
        </w:rPr>
        <w:t>See A/HRC/27/48/Add.3</w:t>
      </w:r>
      <w:r w:rsidRPr="001A5541">
        <w:rPr>
          <w:rFonts w:eastAsia="SimSun"/>
          <w:sz w:val="18"/>
          <w:lang w:val="en-US" w:eastAsia="zh-CN"/>
        </w:rPr>
        <w:t>, paras. 113–114.</w:t>
      </w:r>
      <w:r>
        <w:rPr>
          <w:rFonts w:eastAsia="SimSun"/>
          <w:sz w:val="18"/>
          <w:lang w:val="en-US" w:eastAsia="zh-CN"/>
        </w:rPr>
        <w:t>)</w:t>
      </w:r>
      <w:r w:rsidRPr="001A5541">
        <w:rPr>
          <w:rFonts w:eastAsia="SimSun"/>
          <w:sz w:val="18"/>
          <w:lang w:val="en-US" w:eastAsia="zh-CN"/>
        </w:rPr>
        <w:t xml:space="preserve"> </w:t>
      </w:r>
    </w:p>
  </w:footnote>
  <w:footnote w:id="9">
    <w:p w:rsidR="00451FC7" w:rsidRPr="0080199E" w:rsidRDefault="00451FC7" w:rsidP="00730673">
      <w:pPr>
        <w:tabs>
          <w:tab w:val="right" w:pos="1021"/>
        </w:tabs>
        <w:spacing w:line="220" w:lineRule="exact"/>
        <w:ind w:left="1134" w:right="1134" w:hanging="1134"/>
        <w:rPr>
          <w:rStyle w:val="FootnoteTextChar"/>
        </w:rPr>
      </w:pPr>
      <w:r>
        <w:rPr>
          <w:sz w:val="18"/>
          <w:szCs w:val="18"/>
          <w:lang w:val="en-AU"/>
        </w:rPr>
        <w:tab/>
      </w:r>
      <w:r w:rsidRPr="0069449D">
        <w:rPr>
          <w:rStyle w:val="FootnoteReference"/>
        </w:rPr>
        <w:footnoteRef/>
      </w:r>
      <w:r w:rsidRPr="004141C1">
        <w:rPr>
          <w:sz w:val="18"/>
          <w:szCs w:val="18"/>
          <w:lang w:val="en-US"/>
        </w:rPr>
        <w:t xml:space="preserve"> </w:t>
      </w:r>
      <w:r w:rsidRPr="001A5541">
        <w:rPr>
          <w:rStyle w:val="FootnoteTextChar"/>
        </w:rPr>
        <w:tab/>
      </w:r>
      <w:r w:rsidRPr="004141C1">
        <w:rPr>
          <w:rStyle w:val="FootnoteTextChar"/>
          <w:spacing w:val="-2"/>
        </w:rPr>
        <w:t xml:space="preserve">There are </w:t>
      </w:r>
      <w:proofErr w:type="gramStart"/>
      <w:r w:rsidRPr="004141C1">
        <w:rPr>
          <w:rStyle w:val="FootnoteTextChar"/>
          <w:spacing w:val="-2"/>
        </w:rPr>
        <w:t xml:space="preserve">five re-education through </w:t>
      </w:r>
      <w:proofErr w:type="spellStart"/>
      <w:r w:rsidRPr="004141C1">
        <w:rPr>
          <w:rStyle w:val="FootnoteTextChar"/>
          <w:spacing w:val="-2"/>
        </w:rPr>
        <w:t>labour</w:t>
      </w:r>
      <w:proofErr w:type="spellEnd"/>
      <w:r w:rsidRPr="004141C1">
        <w:rPr>
          <w:rStyle w:val="FootnoteTextChar"/>
          <w:spacing w:val="-2"/>
        </w:rPr>
        <w:t xml:space="preserve"> </w:t>
      </w:r>
      <w:proofErr w:type="spellStart"/>
      <w:r w:rsidRPr="004141C1">
        <w:rPr>
          <w:rStyle w:val="FootnoteTextChar"/>
          <w:spacing w:val="-2"/>
        </w:rPr>
        <w:t>centres</w:t>
      </w:r>
      <w:proofErr w:type="spellEnd"/>
      <w:r w:rsidRPr="004141C1">
        <w:rPr>
          <w:rStyle w:val="FootnoteTextChar"/>
          <w:spacing w:val="-2"/>
        </w:rPr>
        <w:t xml:space="preserve"> in Shanghai, including one for women, one for drug addicts, and three others for men</w:t>
      </w:r>
      <w:proofErr w:type="gramEnd"/>
      <w:r w:rsidRPr="004141C1">
        <w:rPr>
          <w:rStyle w:val="FootnoteTextChar"/>
          <w:spacing w:val="-2"/>
        </w:rPr>
        <w:t>. In case</w:t>
      </w:r>
      <w:r>
        <w:rPr>
          <w:rStyle w:val="FootnoteTextChar"/>
          <w:spacing w:val="-2"/>
        </w:rPr>
        <w:t>s</w:t>
      </w:r>
      <w:r w:rsidRPr="004141C1">
        <w:rPr>
          <w:rStyle w:val="FootnoteTextChar"/>
          <w:spacing w:val="-2"/>
        </w:rPr>
        <w:t xml:space="preserve"> of drug abuse, if it is a first offence, the person will be sent to a rehabilitation </w:t>
      </w:r>
      <w:proofErr w:type="spellStart"/>
      <w:r w:rsidRPr="004141C1">
        <w:rPr>
          <w:rStyle w:val="FootnoteTextChar"/>
          <w:spacing w:val="-2"/>
        </w:rPr>
        <w:t>centre</w:t>
      </w:r>
      <w:proofErr w:type="spellEnd"/>
      <w:r w:rsidRPr="004141C1">
        <w:rPr>
          <w:rStyle w:val="FootnoteTextChar"/>
          <w:spacing w:val="-2"/>
        </w:rPr>
        <w:t>. In case</w:t>
      </w:r>
      <w:r>
        <w:rPr>
          <w:rStyle w:val="FootnoteTextChar"/>
          <w:spacing w:val="-2"/>
        </w:rPr>
        <w:t>s</w:t>
      </w:r>
      <w:r w:rsidRPr="004141C1">
        <w:rPr>
          <w:rStyle w:val="FootnoteTextChar"/>
          <w:spacing w:val="-2"/>
        </w:rPr>
        <w:t xml:space="preserve"> of repeated drug abuse, he </w:t>
      </w:r>
      <w:r>
        <w:rPr>
          <w:rStyle w:val="FootnoteTextChar"/>
          <w:spacing w:val="-2"/>
        </w:rPr>
        <w:t xml:space="preserve">or she </w:t>
      </w:r>
      <w:r w:rsidRPr="004141C1">
        <w:rPr>
          <w:rStyle w:val="FootnoteTextChar"/>
          <w:spacing w:val="-2"/>
        </w:rPr>
        <w:t xml:space="preserve">may be sent to a re-education </w:t>
      </w:r>
      <w:proofErr w:type="spellStart"/>
      <w:r w:rsidRPr="004141C1">
        <w:rPr>
          <w:rStyle w:val="FootnoteTextChar"/>
          <w:spacing w:val="-2"/>
        </w:rPr>
        <w:t>centre</w:t>
      </w:r>
      <w:proofErr w:type="spellEnd"/>
      <w:r w:rsidRPr="004141C1">
        <w:rPr>
          <w:rStyle w:val="FootnoteTextChar"/>
          <w:spacing w:val="-2"/>
        </w:rPr>
        <w:t>. Twenty per cent of cases are for drug-related offences (</w:t>
      </w:r>
      <w:r w:rsidRPr="004141C1">
        <w:rPr>
          <w:rFonts w:eastAsia="SimSun"/>
          <w:spacing w:val="-2"/>
          <w:sz w:val="18"/>
          <w:lang w:val="en-US" w:eastAsia="zh-CN"/>
        </w:rPr>
        <w:t xml:space="preserve">see E/CN.4/1998/44/Add.2, para. 85). </w:t>
      </w:r>
      <w:r w:rsidRPr="004141C1">
        <w:rPr>
          <w:rStyle w:val="FootnoteTextChar"/>
          <w:spacing w:val="-2"/>
        </w:rPr>
        <w:t xml:space="preserve">See also the joint statement of 12 specialized agencies and other organizations of the United Nations system, available from </w:t>
      </w:r>
      <w:r w:rsidRPr="004141C1">
        <w:rPr>
          <w:spacing w:val="-2"/>
        </w:rPr>
        <w:t>www.ohchr.org/EN/NewsEvents/Pages/DisplayNews.aspx?NewsID=11941&amp;LangID=E</w:t>
      </w:r>
      <w:r w:rsidRPr="009A505B">
        <w:rPr>
          <w:spacing w:val="-2"/>
          <w:sz w:val="18"/>
          <w:szCs w:val="18"/>
        </w:rPr>
        <w:t>;</w:t>
      </w:r>
      <w:r w:rsidRPr="004141C1">
        <w:rPr>
          <w:spacing w:val="-2"/>
          <w:sz w:val="18"/>
          <w:szCs w:val="18"/>
        </w:rPr>
        <w:t xml:space="preserve"> J.J. </w:t>
      </w:r>
      <w:r w:rsidRPr="004141C1">
        <w:rPr>
          <w:rStyle w:val="FootnoteTextChar"/>
          <w:spacing w:val="-2"/>
        </w:rPr>
        <w:t xml:space="preserve">Amon and others, “Compulsory drug detention in East and Southeast Asia: evolving government, UN and donor responses”, </w:t>
      </w:r>
      <w:r w:rsidRPr="004141C1">
        <w:rPr>
          <w:rStyle w:val="FootnoteTextChar"/>
          <w:i/>
          <w:iCs/>
          <w:spacing w:val="-2"/>
        </w:rPr>
        <w:t>International Journal of Drug Policy</w:t>
      </w:r>
      <w:r w:rsidRPr="004141C1">
        <w:rPr>
          <w:rStyle w:val="FootnoteTextChar"/>
          <w:spacing w:val="-2"/>
        </w:rPr>
        <w:t>, vol. 25, No. 1, pp. 13–20.</w:t>
      </w:r>
    </w:p>
    <w:p w:rsidR="00451FC7" w:rsidRPr="00BA71B0" w:rsidRDefault="00451FC7" w:rsidP="009134C8">
      <w:pPr>
        <w:tabs>
          <w:tab w:val="right" w:pos="1021"/>
        </w:tabs>
        <w:spacing w:line="220" w:lineRule="exact"/>
        <w:ind w:left="1134" w:right="1134" w:hanging="1134"/>
        <w:rPr>
          <w:sz w:val="18"/>
          <w:szCs w:val="18"/>
          <w:lang w:val="en-US"/>
        </w:rPr>
      </w:pPr>
      <w:r w:rsidRPr="0080199E">
        <w:rPr>
          <w:rStyle w:val="FootnoteTextChar"/>
        </w:rPr>
        <w:tab/>
      </w:r>
      <w:r w:rsidRPr="0080199E">
        <w:rPr>
          <w:rStyle w:val="FootnoteTextChar"/>
        </w:rPr>
        <w:tab/>
      </w:r>
      <w:r w:rsidRPr="00C7571E">
        <w:rPr>
          <w:rStyle w:val="FootnoteTextChar"/>
        </w:rPr>
        <w:t xml:space="preserve">In a published position on compulsory detention </w:t>
      </w:r>
      <w:proofErr w:type="spellStart"/>
      <w:r w:rsidRPr="00C7571E">
        <w:rPr>
          <w:rStyle w:val="FootnoteTextChar"/>
        </w:rPr>
        <w:t>centres</w:t>
      </w:r>
      <w:proofErr w:type="spellEnd"/>
      <w:r w:rsidRPr="00C7571E">
        <w:rPr>
          <w:rStyle w:val="FootnoteTextChar"/>
        </w:rPr>
        <w:t xml:space="preserve"> in East Asia and Pacific, available from</w:t>
      </w:r>
      <w:r w:rsidRPr="00C7571E">
        <w:rPr>
          <w:sz w:val="18"/>
          <w:szCs w:val="18"/>
          <w:lang w:val="en-US"/>
        </w:rPr>
        <w:t xml:space="preserve"> </w:t>
      </w:r>
      <w:r w:rsidRPr="004141C1">
        <w:t>www.unicef.org/eapro/media_18366.html</w:t>
      </w:r>
      <w:r w:rsidRPr="00C7571E">
        <w:rPr>
          <w:sz w:val="18"/>
          <w:szCs w:val="18"/>
          <w:lang w:val="en-US"/>
        </w:rPr>
        <w:t xml:space="preserve">, the </w:t>
      </w:r>
      <w:r w:rsidRPr="00C7571E">
        <w:rPr>
          <w:rStyle w:val="FootnoteTextChar"/>
        </w:rPr>
        <w:t>United Nations Children’s Fund expressed concern about “the use of compulsory detention</w:t>
      </w:r>
      <w:r w:rsidRPr="0080199E">
        <w:rPr>
          <w:rStyle w:val="FootnoteTextChar"/>
        </w:rPr>
        <w:t xml:space="preserve"> </w:t>
      </w:r>
      <w:proofErr w:type="spellStart"/>
      <w:r w:rsidRPr="0080199E">
        <w:rPr>
          <w:rStyle w:val="FootnoteTextChar"/>
        </w:rPr>
        <w:t>centres</w:t>
      </w:r>
      <w:proofErr w:type="spellEnd"/>
      <w:r w:rsidRPr="0080199E">
        <w:rPr>
          <w:rStyle w:val="FootnoteTextChar"/>
        </w:rPr>
        <w:t xml:space="preserve"> in some countries in the East Asia and Pacific region where children, many of whom have been exploited in the sex trade, living on the streets, or detained for drug abuse, are being held”</w:t>
      </w:r>
      <w:r>
        <w:rPr>
          <w:rStyle w:val="FootnoteTextChar"/>
        </w:rPr>
        <w:t>.</w:t>
      </w:r>
    </w:p>
  </w:footnote>
  <w:footnote w:id="10">
    <w:p w:rsidR="00451FC7" w:rsidRPr="005F366F" w:rsidRDefault="00451FC7" w:rsidP="009134C8">
      <w:pPr>
        <w:tabs>
          <w:tab w:val="right" w:pos="1021"/>
        </w:tabs>
        <w:spacing w:line="220" w:lineRule="exact"/>
        <w:ind w:left="1134" w:right="1134" w:hanging="1134"/>
        <w:rPr>
          <w:sz w:val="18"/>
          <w:szCs w:val="18"/>
        </w:rPr>
      </w:pPr>
      <w:r>
        <w:rPr>
          <w:sz w:val="18"/>
          <w:szCs w:val="18"/>
        </w:rPr>
        <w:tab/>
      </w:r>
      <w:r w:rsidRPr="0069449D">
        <w:rPr>
          <w:rStyle w:val="FootnoteReference"/>
        </w:rPr>
        <w:footnoteRef/>
      </w:r>
      <w:r w:rsidRPr="0069449D">
        <w:rPr>
          <w:rStyle w:val="FootnoteReference"/>
        </w:rPr>
        <w:t xml:space="preserve"> </w:t>
      </w:r>
      <w:r>
        <w:rPr>
          <w:sz w:val="18"/>
          <w:szCs w:val="18"/>
        </w:rPr>
        <w:tab/>
        <w:t xml:space="preserve">See </w:t>
      </w:r>
      <w:r w:rsidRPr="0080199E">
        <w:rPr>
          <w:rStyle w:val="FootnoteTextChar"/>
        </w:rPr>
        <w:t>United Nations Office on Drugs and Crime and W</w:t>
      </w:r>
      <w:r>
        <w:rPr>
          <w:rStyle w:val="FootnoteTextChar"/>
        </w:rPr>
        <w:t>orld Health Organization</w:t>
      </w:r>
      <w:r w:rsidRPr="0080199E">
        <w:rPr>
          <w:rStyle w:val="FootnoteTextChar"/>
        </w:rPr>
        <w:t xml:space="preserve">, “Principles of drug dependence treatment”, discussion paper </w:t>
      </w:r>
      <w:r>
        <w:rPr>
          <w:rStyle w:val="FootnoteTextChar"/>
        </w:rPr>
        <w:t>(</w:t>
      </w:r>
      <w:r w:rsidRPr="0080199E">
        <w:rPr>
          <w:rStyle w:val="FootnoteTextChar"/>
        </w:rPr>
        <w:t>2008</w:t>
      </w:r>
      <w:r>
        <w:rPr>
          <w:rStyle w:val="FootnoteTextChar"/>
        </w:rPr>
        <w:t>)</w:t>
      </w:r>
      <w:r w:rsidRPr="0080199E">
        <w:rPr>
          <w:rStyle w:val="FootnoteTextChar"/>
        </w:rPr>
        <w:t>, p</w:t>
      </w:r>
      <w:r>
        <w:rPr>
          <w:rStyle w:val="FootnoteTextChar"/>
        </w:rPr>
        <w:t>. </w:t>
      </w:r>
      <w:r w:rsidRPr="0080199E">
        <w:rPr>
          <w:rStyle w:val="FootnoteTextChar"/>
        </w:rPr>
        <w:t>15</w:t>
      </w:r>
      <w:r>
        <w:rPr>
          <w:rStyle w:val="FootnoteTextChar"/>
        </w:rPr>
        <w:t xml:space="preserve">. </w:t>
      </w:r>
      <w:r w:rsidRPr="0080199E">
        <w:rPr>
          <w:rStyle w:val="FootnoteTextChar"/>
        </w:rPr>
        <w:t xml:space="preserve">This is consistent with the position of the Special Rapporteur on </w:t>
      </w:r>
      <w:r>
        <w:rPr>
          <w:rStyle w:val="FootnoteTextChar"/>
        </w:rPr>
        <w:t>t</w:t>
      </w:r>
      <w:r w:rsidRPr="0080199E">
        <w:rPr>
          <w:rStyle w:val="FootnoteTextChar"/>
        </w:rPr>
        <w:t>orture</w:t>
      </w:r>
      <w:r>
        <w:rPr>
          <w:rStyle w:val="FootnoteTextChar"/>
        </w:rPr>
        <w:t xml:space="preserve"> and other cruel, inhuman or degrading treatment or punishment (see </w:t>
      </w:r>
      <w:r w:rsidRPr="0080199E">
        <w:rPr>
          <w:rStyle w:val="FootnoteTextChar"/>
        </w:rPr>
        <w:t>A/H</w:t>
      </w:r>
      <w:r>
        <w:rPr>
          <w:rStyle w:val="FootnoteTextChar"/>
        </w:rPr>
        <w:t>RC/22/53, paras. 40–</w:t>
      </w:r>
      <w:r w:rsidRPr="0080199E">
        <w:rPr>
          <w:rStyle w:val="FootnoteTextChar"/>
        </w:rPr>
        <w:t>44</w:t>
      </w:r>
      <w:r>
        <w:rPr>
          <w:rStyle w:val="FootnoteTextChar"/>
        </w:rPr>
        <w:t>).</w:t>
      </w:r>
    </w:p>
  </w:footnote>
  <w:footnote w:id="11">
    <w:p w:rsidR="00451FC7" w:rsidRPr="00BA71B0" w:rsidRDefault="00451FC7" w:rsidP="0043249A">
      <w:pPr>
        <w:tabs>
          <w:tab w:val="right" w:pos="1021"/>
        </w:tabs>
        <w:spacing w:line="220" w:lineRule="exact"/>
        <w:ind w:left="1134" w:right="1134" w:hanging="1134"/>
        <w:rPr>
          <w:sz w:val="18"/>
          <w:szCs w:val="18"/>
        </w:rPr>
      </w:pPr>
      <w:r>
        <w:rPr>
          <w:sz w:val="18"/>
          <w:szCs w:val="18"/>
        </w:rPr>
        <w:tab/>
      </w:r>
      <w:r w:rsidRPr="0069449D">
        <w:rPr>
          <w:rStyle w:val="FootnoteReference"/>
        </w:rPr>
        <w:footnoteRef/>
      </w:r>
      <w:r>
        <w:rPr>
          <w:sz w:val="18"/>
          <w:szCs w:val="18"/>
        </w:rPr>
        <w:tab/>
        <w:t xml:space="preserve">See </w:t>
      </w:r>
      <w:r w:rsidRPr="003B5F83">
        <w:rPr>
          <w:sz w:val="18"/>
          <w:szCs w:val="18"/>
          <w:lang w:val="en-US"/>
        </w:rPr>
        <w:t>United Nations Office on Drugs and Crime and World Health Organization,</w:t>
      </w:r>
      <w:r>
        <w:rPr>
          <w:sz w:val="18"/>
          <w:szCs w:val="18"/>
          <w:lang w:val="en-US"/>
        </w:rPr>
        <w:t xml:space="preserve"> “Principles of drug dependence”</w:t>
      </w:r>
      <w:r w:rsidRPr="003B5F83">
        <w:rPr>
          <w:sz w:val="18"/>
          <w:szCs w:val="18"/>
          <w:lang w:val="en-US"/>
        </w:rPr>
        <w:t>, p. 15</w:t>
      </w:r>
      <w:r>
        <w:rPr>
          <w:rStyle w:val="FootnoteTextChar"/>
        </w:rPr>
        <w:t>.</w:t>
      </w:r>
    </w:p>
  </w:footnote>
  <w:footnote w:id="12">
    <w:p w:rsidR="00451FC7" w:rsidRPr="00BA71B0" w:rsidRDefault="00451FC7" w:rsidP="00733312">
      <w:pPr>
        <w:tabs>
          <w:tab w:val="right" w:pos="1021"/>
        </w:tabs>
        <w:spacing w:line="220" w:lineRule="exact"/>
        <w:ind w:left="1134" w:right="1134" w:hanging="1134"/>
        <w:rPr>
          <w:sz w:val="18"/>
          <w:szCs w:val="18"/>
        </w:rPr>
      </w:pPr>
      <w:r>
        <w:rPr>
          <w:sz w:val="18"/>
          <w:szCs w:val="18"/>
          <w:lang w:val="en-US"/>
        </w:rPr>
        <w:tab/>
      </w:r>
      <w:r w:rsidRPr="00BA71B0">
        <w:rPr>
          <w:rStyle w:val="FootnoteReference"/>
          <w:szCs w:val="18"/>
        </w:rPr>
        <w:footnoteRef/>
      </w:r>
      <w:r w:rsidRPr="00BA71B0">
        <w:rPr>
          <w:sz w:val="18"/>
          <w:szCs w:val="18"/>
          <w:lang w:val="en-US"/>
        </w:rPr>
        <w:t xml:space="preserve"> </w:t>
      </w:r>
      <w:r>
        <w:rPr>
          <w:sz w:val="18"/>
          <w:szCs w:val="18"/>
          <w:lang w:val="en-US"/>
        </w:rPr>
        <w:tab/>
        <w:t xml:space="preserve">See </w:t>
      </w:r>
      <w:r w:rsidRPr="00AF79EF">
        <w:rPr>
          <w:rStyle w:val="FootnoteTextChar"/>
        </w:rPr>
        <w:t xml:space="preserve">E/CN.4/2004/3, </w:t>
      </w:r>
      <w:r>
        <w:rPr>
          <w:rStyle w:val="FootnoteTextChar"/>
        </w:rPr>
        <w:t>paras. </w:t>
      </w:r>
      <w:proofErr w:type="gramStart"/>
      <w:r w:rsidRPr="00AF79EF">
        <w:rPr>
          <w:rStyle w:val="FootnoteTextChar"/>
        </w:rPr>
        <w:t>74</w:t>
      </w:r>
      <w:r>
        <w:rPr>
          <w:rStyle w:val="FootnoteTextChar"/>
        </w:rPr>
        <w:t xml:space="preserve"> and</w:t>
      </w:r>
      <w:r w:rsidRPr="00AF79EF">
        <w:rPr>
          <w:rStyle w:val="FootnoteTextChar"/>
        </w:rPr>
        <w:t xml:space="preserve"> 87; Human Rights Committee, </w:t>
      </w:r>
      <w:r>
        <w:rPr>
          <w:rStyle w:val="FootnoteTextChar"/>
        </w:rPr>
        <w:t>g</w:t>
      </w:r>
      <w:r w:rsidRPr="00AF79EF">
        <w:rPr>
          <w:rStyle w:val="FootnoteTextChar"/>
        </w:rPr>
        <w:t xml:space="preserve">eneral </w:t>
      </w:r>
      <w:r>
        <w:rPr>
          <w:rStyle w:val="FootnoteTextChar"/>
        </w:rPr>
        <w:t>c</w:t>
      </w:r>
      <w:r w:rsidRPr="00AF79EF">
        <w:rPr>
          <w:rStyle w:val="FootnoteTextChar"/>
        </w:rPr>
        <w:t xml:space="preserve">omment </w:t>
      </w:r>
      <w:r>
        <w:rPr>
          <w:rStyle w:val="FootnoteTextChar"/>
        </w:rPr>
        <w:t xml:space="preserve">No. </w:t>
      </w:r>
      <w:r w:rsidRPr="00AF79EF">
        <w:rPr>
          <w:rStyle w:val="FootnoteTextChar"/>
        </w:rPr>
        <w:t>35</w:t>
      </w:r>
      <w:r>
        <w:rPr>
          <w:rStyle w:val="FootnoteTextChar"/>
        </w:rPr>
        <w:t xml:space="preserve"> (2014) on liberty and security of person</w:t>
      </w:r>
      <w:r w:rsidRPr="00AF79EF">
        <w:rPr>
          <w:rStyle w:val="FootnoteTextChar"/>
        </w:rPr>
        <w:t>,</w:t>
      </w:r>
      <w:r>
        <w:rPr>
          <w:rStyle w:val="FootnoteTextChar"/>
        </w:rPr>
        <w:t xml:space="preserve"> para.</w:t>
      </w:r>
      <w:proofErr w:type="gramEnd"/>
      <w:r>
        <w:rPr>
          <w:rStyle w:val="FootnoteTextChar"/>
        </w:rPr>
        <w:t> </w:t>
      </w:r>
      <w:r w:rsidRPr="00AF79EF">
        <w:rPr>
          <w:rStyle w:val="FootnoteTextChar"/>
        </w:rPr>
        <w:t xml:space="preserve">15; </w:t>
      </w:r>
      <w:r>
        <w:rPr>
          <w:rStyle w:val="FootnoteTextChar"/>
        </w:rPr>
        <w:t xml:space="preserve">and European Court of Human Rights, </w:t>
      </w:r>
      <w:proofErr w:type="spellStart"/>
      <w:r w:rsidRPr="004141C1">
        <w:rPr>
          <w:rStyle w:val="FootnoteTextChar"/>
          <w:i/>
          <w:iCs/>
        </w:rPr>
        <w:t>Witold</w:t>
      </w:r>
      <w:proofErr w:type="spellEnd"/>
      <w:r w:rsidRPr="004141C1">
        <w:rPr>
          <w:rStyle w:val="FootnoteTextChar"/>
          <w:i/>
          <w:iCs/>
        </w:rPr>
        <w:t xml:space="preserve"> </w:t>
      </w:r>
      <w:proofErr w:type="spellStart"/>
      <w:r w:rsidRPr="004141C1">
        <w:rPr>
          <w:rStyle w:val="FootnoteTextChar"/>
          <w:i/>
          <w:iCs/>
        </w:rPr>
        <w:t>Litwa</w:t>
      </w:r>
      <w:proofErr w:type="spellEnd"/>
      <w:r w:rsidRPr="004141C1">
        <w:rPr>
          <w:rStyle w:val="FootnoteTextChar"/>
          <w:i/>
          <w:iCs/>
        </w:rPr>
        <w:t xml:space="preserve"> v. Poland</w:t>
      </w:r>
      <w:r>
        <w:rPr>
          <w:rStyle w:val="FootnoteTextChar"/>
        </w:rPr>
        <w:t>, application No. 26629/95, judgement of</w:t>
      </w:r>
      <w:r w:rsidRPr="00733312">
        <w:rPr>
          <w:rFonts w:eastAsia="SimSun"/>
          <w:sz w:val="18"/>
          <w:lang w:val="en-US" w:eastAsia="zh-CN"/>
        </w:rPr>
        <w:t xml:space="preserve"> 4 April 2000</w:t>
      </w:r>
      <w:r>
        <w:rPr>
          <w:rFonts w:eastAsia="SimSun"/>
          <w:sz w:val="18"/>
          <w:lang w:val="en-US" w:eastAsia="zh-CN"/>
        </w:rPr>
        <w:t>,</w:t>
      </w:r>
      <w:r>
        <w:rPr>
          <w:rStyle w:val="FootnoteTextChar"/>
        </w:rPr>
        <w:t xml:space="preserve"> paras. 77–</w:t>
      </w:r>
      <w:r w:rsidRPr="00AF79EF">
        <w:rPr>
          <w:rStyle w:val="FootnoteTextChar"/>
        </w:rPr>
        <w:t>80</w:t>
      </w:r>
      <w:r>
        <w:rPr>
          <w:rStyle w:val="FootnoteTextChar"/>
        </w:rPr>
        <w:t>.</w:t>
      </w:r>
    </w:p>
  </w:footnote>
  <w:footnote w:id="13">
    <w:p w:rsidR="00451FC7" w:rsidRPr="00BA71B0" w:rsidRDefault="00451FC7" w:rsidP="00AC598D">
      <w:pPr>
        <w:tabs>
          <w:tab w:val="right" w:pos="1021"/>
        </w:tabs>
        <w:spacing w:line="220" w:lineRule="exact"/>
        <w:ind w:left="1134" w:right="1134" w:hanging="1134"/>
        <w:rPr>
          <w:sz w:val="18"/>
          <w:szCs w:val="18"/>
          <w:lang w:val="en-US"/>
        </w:rPr>
      </w:pPr>
      <w:r>
        <w:rPr>
          <w:sz w:val="18"/>
          <w:szCs w:val="18"/>
          <w:lang w:val="en-US"/>
        </w:rPr>
        <w:tab/>
      </w:r>
      <w:r w:rsidRPr="00BA71B0">
        <w:rPr>
          <w:rStyle w:val="FootnoteReference"/>
          <w:szCs w:val="18"/>
        </w:rPr>
        <w:footnoteRef/>
      </w:r>
      <w:r>
        <w:rPr>
          <w:sz w:val="18"/>
          <w:szCs w:val="18"/>
          <w:lang w:val="en-US"/>
        </w:rPr>
        <w:tab/>
      </w:r>
      <w:r w:rsidRPr="00AF79EF">
        <w:rPr>
          <w:rStyle w:val="FootnoteTextChar"/>
        </w:rPr>
        <w:t>African Charter on Human and Peoples’ Rights</w:t>
      </w:r>
      <w:r>
        <w:rPr>
          <w:rStyle w:val="FootnoteTextChar"/>
        </w:rPr>
        <w:t>,</w:t>
      </w:r>
      <w:r w:rsidRPr="00AF79EF">
        <w:rPr>
          <w:rStyle w:val="FootnoteTextChar"/>
        </w:rPr>
        <w:t xml:space="preserve"> American Convention on Human Rights</w:t>
      </w:r>
      <w:r>
        <w:rPr>
          <w:rStyle w:val="FootnoteTextChar"/>
        </w:rPr>
        <w:t>,</w:t>
      </w:r>
      <w:r w:rsidRPr="00AF79EF">
        <w:rPr>
          <w:rStyle w:val="FootnoteTextChar"/>
        </w:rPr>
        <w:t xml:space="preserve"> Convention for the Protection of Human Rights and Fundamental Freedoms</w:t>
      </w:r>
      <w:r>
        <w:rPr>
          <w:rStyle w:val="FootnoteTextChar"/>
        </w:rPr>
        <w:t>,</w:t>
      </w:r>
      <w:r w:rsidRPr="00AF79EF">
        <w:rPr>
          <w:rStyle w:val="FootnoteTextChar"/>
        </w:rPr>
        <w:t xml:space="preserve"> International Covenant on Civil and Political Rights</w:t>
      </w:r>
      <w:r>
        <w:rPr>
          <w:rStyle w:val="FootnoteTextChar"/>
        </w:rPr>
        <w:t>,</w:t>
      </w:r>
      <w:r w:rsidRPr="00AF79EF">
        <w:rPr>
          <w:rStyle w:val="FootnoteTextChar"/>
        </w:rPr>
        <w:t xml:space="preserve"> Body of Principles for the Protection of </w:t>
      </w:r>
      <w:r>
        <w:rPr>
          <w:rStyle w:val="FootnoteTextChar"/>
        </w:rPr>
        <w:t>A</w:t>
      </w:r>
      <w:r w:rsidRPr="00AF79EF">
        <w:rPr>
          <w:rStyle w:val="FootnoteTextChar"/>
        </w:rPr>
        <w:t xml:space="preserve">ll Persons under </w:t>
      </w:r>
      <w:r>
        <w:rPr>
          <w:rStyle w:val="FootnoteTextChar"/>
        </w:rPr>
        <w:t>A</w:t>
      </w:r>
      <w:r w:rsidRPr="00AF79EF">
        <w:rPr>
          <w:rStyle w:val="FootnoteTextChar"/>
        </w:rPr>
        <w:t>ny Form of Detention or Imprisonment</w:t>
      </w:r>
      <w:r>
        <w:rPr>
          <w:rStyle w:val="FootnoteTextChar"/>
        </w:rPr>
        <w:t>,</w:t>
      </w:r>
      <w:r w:rsidRPr="00AF79EF">
        <w:rPr>
          <w:rStyle w:val="FootnoteTextChar"/>
        </w:rPr>
        <w:t xml:space="preserve"> Convention against Torture and </w:t>
      </w:r>
      <w:r>
        <w:rPr>
          <w:rStyle w:val="FootnoteTextChar"/>
        </w:rPr>
        <w:t xml:space="preserve">Other </w:t>
      </w:r>
      <w:r w:rsidRPr="00AF79EF">
        <w:rPr>
          <w:rStyle w:val="FootnoteTextChar"/>
        </w:rPr>
        <w:t xml:space="preserve">Cruel, Inhuman </w:t>
      </w:r>
      <w:r>
        <w:rPr>
          <w:rStyle w:val="FootnoteTextChar"/>
        </w:rPr>
        <w:t>or</w:t>
      </w:r>
      <w:r w:rsidRPr="00AF79EF">
        <w:rPr>
          <w:rStyle w:val="FootnoteTextChar"/>
        </w:rPr>
        <w:t xml:space="preserve"> Degrading Treatment o</w:t>
      </w:r>
      <w:r>
        <w:rPr>
          <w:rStyle w:val="FootnoteTextChar"/>
        </w:rPr>
        <w:t>r</w:t>
      </w:r>
      <w:r w:rsidRPr="00AF79EF">
        <w:rPr>
          <w:rStyle w:val="FootnoteTextChar"/>
        </w:rPr>
        <w:t xml:space="preserve"> Punishment.</w:t>
      </w:r>
    </w:p>
  </w:footnote>
  <w:footnote w:id="14">
    <w:p w:rsidR="00451FC7" w:rsidRPr="005F366F" w:rsidRDefault="00451FC7" w:rsidP="006F42E0">
      <w:pPr>
        <w:pStyle w:val="FootnoteText"/>
        <w:rPr>
          <w:szCs w:val="18"/>
        </w:rPr>
      </w:pPr>
      <w:r>
        <w:rPr>
          <w:szCs w:val="18"/>
        </w:rPr>
        <w:tab/>
      </w:r>
      <w:r w:rsidRPr="00BA71B0">
        <w:rPr>
          <w:rStyle w:val="FootnoteReference"/>
          <w:szCs w:val="18"/>
        </w:rPr>
        <w:footnoteRef/>
      </w:r>
      <w:r w:rsidRPr="005F366F">
        <w:rPr>
          <w:szCs w:val="18"/>
        </w:rPr>
        <w:t xml:space="preserve"> </w:t>
      </w:r>
      <w:r>
        <w:rPr>
          <w:szCs w:val="18"/>
        </w:rPr>
        <w:tab/>
        <w:t xml:space="preserve">Rodrigo </w:t>
      </w:r>
      <w:proofErr w:type="spellStart"/>
      <w:r>
        <w:rPr>
          <w:szCs w:val="18"/>
        </w:rPr>
        <w:t>Uprimny</w:t>
      </w:r>
      <w:proofErr w:type="spellEnd"/>
      <w:r>
        <w:rPr>
          <w:szCs w:val="18"/>
        </w:rPr>
        <w:t xml:space="preserve"> </w:t>
      </w:r>
      <w:proofErr w:type="spellStart"/>
      <w:r>
        <w:rPr>
          <w:szCs w:val="18"/>
        </w:rPr>
        <w:t>Yepes</w:t>
      </w:r>
      <w:proofErr w:type="spellEnd"/>
      <w:r>
        <w:rPr>
          <w:szCs w:val="18"/>
        </w:rPr>
        <w:t xml:space="preserve">, Diana Esther </w:t>
      </w:r>
      <w:proofErr w:type="spellStart"/>
      <w:r>
        <w:rPr>
          <w:szCs w:val="18"/>
        </w:rPr>
        <w:t>Guzmán</w:t>
      </w:r>
      <w:proofErr w:type="spellEnd"/>
      <w:r>
        <w:rPr>
          <w:szCs w:val="18"/>
        </w:rPr>
        <w:t xml:space="preserve"> and Jorge Parra </w:t>
      </w:r>
      <w:proofErr w:type="spellStart"/>
      <w:r>
        <w:rPr>
          <w:szCs w:val="18"/>
        </w:rPr>
        <w:t>Norato</w:t>
      </w:r>
      <w:proofErr w:type="spellEnd"/>
      <w:r>
        <w:rPr>
          <w:szCs w:val="18"/>
        </w:rPr>
        <w:t xml:space="preserve">, “Addicted to punishment: the </w:t>
      </w:r>
      <w:r>
        <w:rPr>
          <w:rStyle w:val="FootnoteTextChar"/>
        </w:rPr>
        <w:t>dis</w:t>
      </w:r>
      <w:r w:rsidRPr="006F42E0">
        <w:rPr>
          <w:rStyle w:val="FootnoteTextChar"/>
        </w:rPr>
        <w:t xml:space="preserve">proportionality </w:t>
      </w:r>
      <w:r>
        <w:rPr>
          <w:rStyle w:val="FootnoteTextChar"/>
        </w:rPr>
        <w:t>of drug laws</w:t>
      </w:r>
      <w:r w:rsidRPr="006F42E0">
        <w:rPr>
          <w:rStyle w:val="FootnoteTextChar"/>
        </w:rPr>
        <w:t xml:space="preserve"> in Latin America</w:t>
      </w:r>
      <w:r>
        <w:rPr>
          <w:szCs w:val="18"/>
        </w:rPr>
        <w:t xml:space="preserve">”, </w:t>
      </w:r>
      <w:proofErr w:type="spellStart"/>
      <w:r>
        <w:rPr>
          <w:szCs w:val="18"/>
        </w:rPr>
        <w:t>Dejusticia</w:t>
      </w:r>
      <w:proofErr w:type="spellEnd"/>
      <w:r>
        <w:rPr>
          <w:szCs w:val="18"/>
        </w:rPr>
        <w:t xml:space="preserve"> Working Paper 1.</w:t>
      </w:r>
    </w:p>
  </w:footnote>
  <w:footnote w:id="15">
    <w:p w:rsidR="00451FC7" w:rsidRPr="00BA71B0" w:rsidRDefault="00451FC7" w:rsidP="00290DE8">
      <w:pPr>
        <w:tabs>
          <w:tab w:val="right" w:pos="1021"/>
        </w:tabs>
        <w:spacing w:line="220" w:lineRule="exact"/>
        <w:ind w:left="1134" w:right="1134" w:hanging="1134"/>
        <w:rPr>
          <w:sz w:val="18"/>
          <w:szCs w:val="18"/>
          <w:lang w:val="en-US"/>
        </w:rPr>
      </w:pPr>
      <w:r>
        <w:rPr>
          <w:sz w:val="18"/>
          <w:szCs w:val="18"/>
          <w:lang w:val="en-US"/>
        </w:rPr>
        <w:tab/>
      </w:r>
      <w:r w:rsidRPr="00BA71B0">
        <w:rPr>
          <w:rStyle w:val="FootnoteReference"/>
          <w:szCs w:val="18"/>
        </w:rPr>
        <w:footnoteRef/>
      </w:r>
      <w:r w:rsidRPr="00BA71B0">
        <w:rPr>
          <w:sz w:val="18"/>
          <w:szCs w:val="18"/>
          <w:lang w:val="en-US"/>
        </w:rPr>
        <w:t xml:space="preserve"> </w:t>
      </w:r>
      <w:r>
        <w:rPr>
          <w:sz w:val="18"/>
          <w:szCs w:val="18"/>
          <w:lang w:val="en-US"/>
        </w:rPr>
        <w:tab/>
      </w:r>
      <w:r>
        <w:rPr>
          <w:rStyle w:val="FootnoteTextChar"/>
          <w:iCs/>
        </w:rPr>
        <w:t>Working Group on Arbitrary Detention,</w:t>
      </w:r>
      <w:r w:rsidRPr="00AF79EF">
        <w:rPr>
          <w:rStyle w:val="FootnoteTextChar"/>
        </w:rPr>
        <w:t xml:space="preserve"> </w:t>
      </w:r>
      <w:r>
        <w:rPr>
          <w:rStyle w:val="FootnoteTextChar"/>
        </w:rPr>
        <w:t>deliberation No. 4.</w:t>
      </w:r>
    </w:p>
  </w:footnote>
  <w:footnote w:id="16">
    <w:p w:rsidR="00451FC7" w:rsidRPr="00BA71B0" w:rsidRDefault="00451FC7" w:rsidP="0082625F">
      <w:pPr>
        <w:tabs>
          <w:tab w:val="right" w:pos="1021"/>
        </w:tabs>
        <w:spacing w:line="220" w:lineRule="exact"/>
        <w:ind w:left="1134" w:right="1134" w:hanging="1134"/>
        <w:rPr>
          <w:sz w:val="18"/>
          <w:szCs w:val="18"/>
          <w:lang w:val="en-US"/>
        </w:rPr>
      </w:pPr>
      <w:r>
        <w:rPr>
          <w:sz w:val="18"/>
          <w:szCs w:val="18"/>
          <w:lang w:val="en-US"/>
        </w:rPr>
        <w:tab/>
      </w:r>
      <w:r w:rsidRPr="00BA71B0">
        <w:rPr>
          <w:rStyle w:val="FootnoteReference"/>
          <w:szCs w:val="18"/>
        </w:rPr>
        <w:footnoteRef/>
      </w:r>
      <w:r w:rsidRPr="00BA71B0">
        <w:rPr>
          <w:sz w:val="18"/>
          <w:szCs w:val="18"/>
          <w:lang w:val="en-US"/>
        </w:rPr>
        <w:t xml:space="preserve"> </w:t>
      </w:r>
      <w:r>
        <w:rPr>
          <w:sz w:val="18"/>
          <w:szCs w:val="18"/>
          <w:lang w:val="en-US"/>
        </w:rPr>
        <w:tab/>
      </w:r>
      <w:r>
        <w:rPr>
          <w:rStyle w:val="FootnoteTextChar"/>
        </w:rPr>
        <w:t xml:space="preserve">See </w:t>
      </w:r>
      <w:r w:rsidRPr="002F49AD">
        <w:rPr>
          <w:rStyle w:val="FootnoteTextChar"/>
        </w:rPr>
        <w:t>A/HRC/27/48/Add.3,</w:t>
      </w:r>
      <w:r w:rsidRPr="00AF79EF">
        <w:rPr>
          <w:rStyle w:val="FootnoteTextChar"/>
        </w:rPr>
        <w:t xml:space="preserve"> </w:t>
      </w:r>
      <w:r>
        <w:rPr>
          <w:rStyle w:val="FootnoteTextChar"/>
        </w:rPr>
        <w:t>paras. 111–119.</w:t>
      </w:r>
    </w:p>
  </w:footnote>
  <w:footnote w:id="17">
    <w:p w:rsidR="00451FC7" w:rsidRPr="00E66EC3" w:rsidRDefault="00451FC7" w:rsidP="00D410D7">
      <w:pPr>
        <w:pStyle w:val="FootnoteText"/>
      </w:pPr>
      <w:r>
        <w:tab/>
      </w:r>
      <w:r>
        <w:rPr>
          <w:rStyle w:val="FootnoteReference"/>
        </w:rPr>
        <w:footnoteRef/>
      </w:r>
      <w:r w:rsidRPr="00F4665B">
        <w:t xml:space="preserve"> </w:t>
      </w:r>
      <w:r>
        <w:tab/>
        <w:t xml:space="preserve">See </w:t>
      </w:r>
      <w:r w:rsidRPr="00D36DC1">
        <w:t>International Court of Justice,</w:t>
      </w:r>
      <w:r>
        <w:t xml:space="preserve"> </w:t>
      </w:r>
      <w:proofErr w:type="spellStart"/>
      <w:r w:rsidRPr="004141C1">
        <w:rPr>
          <w:i/>
          <w:iCs/>
        </w:rPr>
        <w:t>Ahmadou</w:t>
      </w:r>
      <w:proofErr w:type="spellEnd"/>
      <w:r w:rsidRPr="004141C1">
        <w:rPr>
          <w:i/>
          <w:iCs/>
        </w:rPr>
        <w:t xml:space="preserve"> </w:t>
      </w:r>
      <w:proofErr w:type="spellStart"/>
      <w:r w:rsidRPr="004141C1">
        <w:rPr>
          <w:i/>
          <w:iCs/>
        </w:rPr>
        <w:t>Sadio</w:t>
      </w:r>
      <w:proofErr w:type="spellEnd"/>
      <w:r w:rsidRPr="00D410D7">
        <w:t xml:space="preserve"> </w:t>
      </w:r>
      <w:r w:rsidRPr="004141C1">
        <w:rPr>
          <w:i/>
          <w:iCs/>
        </w:rPr>
        <w:t>Diallo (Republic of</w:t>
      </w:r>
      <w:r w:rsidRPr="00495FBA">
        <w:t xml:space="preserve"> </w:t>
      </w:r>
      <w:r w:rsidRPr="004141C1">
        <w:rPr>
          <w:i/>
          <w:iCs/>
        </w:rPr>
        <w:t>Guinea v. Democratic Republic of the Congo</w:t>
      </w:r>
      <w:r>
        <w:rPr>
          <w:i/>
          <w:iCs/>
        </w:rPr>
        <w:t>)</w:t>
      </w:r>
      <w:r>
        <w:t>,</w:t>
      </w:r>
      <w:r w:rsidRPr="00D36DC1">
        <w:t xml:space="preserve"> </w:t>
      </w:r>
      <w:r>
        <w:rPr>
          <w:i/>
          <w:iCs/>
        </w:rPr>
        <w:t xml:space="preserve">Compensation, </w:t>
      </w:r>
      <w:r w:rsidRPr="004141C1">
        <w:rPr>
          <w:i/>
          <w:iCs/>
        </w:rPr>
        <w:t>Judgment</w:t>
      </w:r>
      <w:r>
        <w:rPr>
          <w:i/>
          <w:iCs/>
        </w:rPr>
        <w:t>,</w:t>
      </w:r>
      <w:r w:rsidRPr="004141C1">
        <w:rPr>
          <w:i/>
          <w:iCs/>
        </w:rPr>
        <w:t xml:space="preserve"> </w:t>
      </w:r>
      <w:r>
        <w:rPr>
          <w:i/>
          <w:iCs/>
        </w:rPr>
        <w:t>I.C.J. Reports 2012</w:t>
      </w:r>
      <w:r w:rsidRPr="004141C1">
        <w:t>,</w:t>
      </w:r>
      <w:r>
        <w:rPr>
          <w:i/>
          <w:iCs/>
        </w:rPr>
        <w:t xml:space="preserve"> </w:t>
      </w:r>
      <w:r>
        <w:t xml:space="preserve">p. 324, </w:t>
      </w:r>
      <w:proofErr w:type="spellStart"/>
      <w:r w:rsidRPr="00D410D7">
        <w:rPr>
          <w:i/>
          <w:iCs/>
          <w:lang w:val="en-GB"/>
        </w:rPr>
        <w:t>Ahmadou</w:t>
      </w:r>
      <w:proofErr w:type="spellEnd"/>
      <w:r w:rsidRPr="00D410D7">
        <w:rPr>
          <w:i/>
          <w:iCs/>
          <w:lang w:val="en-GB"/>
        </w:rPr>
        <w:t xml:space="preserve"> </w:t>
      </w:r>
      <w:proofErr w:type="spellStart"/>
      <w:r w:rsidRPr="00D410D7">
        <w:rPr>
          <w:i/>
          <w:iCs/>
          <w:lang w:val="en-GB"/>
        </w:rPr>
        <w:t>Sadio</w:t>
      </w:r>
      <w:proofErr w:type="spellEnd"/>
      <w:r w:rsidRPr="00D410D7">
        <w:rPr>
          <w:lang w:val="en-GB"/>
        </w:rPr>
        <w:t xml:space="preserve"> </w:t>
      </w:r>
      <w:r w:rsidRPr="00D410D7">
        <w:rPr>
          <w:i/>
          <w:iCs/>
          <w:lang w:val="en-GB"/>
        </w:rPr>
        <w:t>Diallo (Republic of</w:t>
      </w:r>
      <w:r w:rsidRPr="00D410D7">
        <w:rPr>
          <w:lang w:val="en-GB"/>
        </w:rPr>
        <w:t xml:space="preserve"> </w:t>
      </w:r>
      <w:r w:rsidRPr="00D410D7">
        <w:rPr>
          <w:i/>
          <w:iCs/>
          <w:lang w:val="en-GB"/>
        </w:rPr>
        <w:t>Guinea v. Democratic Republic of the Congo)</w:t>
      </w:r>
      <w:r w:rsidRPr="00D410D7">
        <w:rPr>
          <w:lang w:val="en-GB"/>
        </w:rPr>
        <w:t xml:space="preserve">, </w:t>
      </w:r>
      <w:r>
        <w:rPr>
          <w:i/>
          <w:iCs/>
          <w:lang w:val="en-GB"/>
        </w:rPr>
        <w:t>Merits</w:t>
      </w:r>
      <w:r w:rsidRPr="00D410D7">
        <w:rPr>
          <w:i/>
          <w:iCs/>
          <w:lang w:val="en-GB"/>
        </w:rPr>
        <w:t>, Judgment</w:t>
      </w:r>
      <w:r>
        <w:rPr>
          <w:i/>
          <w:iCs/>
          <w:lang w:val="en-GB"/>
        </w:rPr>
        <w:t>,</w:t>
      </w:r>
      <w:r w:rsidRPr="00D410D7">
        <w:rPr>
          <w:i/>
          <w:iCs/>
          <w:lang w:val="en-GB"/>
        </w:rPr>
        <w:t xml:space="preserve"> I.C.J. Reports </w:t>
      </w:r>
      <w:r>
        <w:rPr>
          <w:i/>
          <w:iCs/>
          <w:lang w:val="en-GB"/>
        </w:rPr>
        <w:t>2010</w:t>
      </w:r>
      <w:r w:rsidRPr="004141C1">
        <w:rPr>
          <w:lang w:val="en-GB"/>
        </w:rPr>
        <w:t>,</w:t>
      </w:r>
      <w:r>
        <w:rPr>
          <w:i/>
          <w:iCs/>
          <w:lang w:val="en-GB"/>
        </w:rPr>
        <w:t xml:space="preserve"> </w:t>
      </w:r>
      <w:r>
        <w:rPr>
          <w:lang w:val="en-GB"/>
        </w:rPr>
        <w:t>p. 639</w:t>
      </w:r>
      <w:r w:rsidRPr="00D36DC1">
        <w:t xml:space="preserve"> </w:t>
      </w:r>
      <w:r>
        <w:t xml:space="preserve">and </w:t>
      </w:r>
      <w:proofErr w:type="spellStart"/>
      <w:r w:rsidRPr="00D410D7">
        <w:rPr>
          <w:i/>
          <w:iCs/>
          <w:lang w:val="en-GB"/>
        </w:rPr>
        <w:t>Ahmadou</w:t>
      </w:r>
      <w:proofErr w:type="spellEnd"/>
      <w:r w:rsidRPr="00D410D7">
        <w:rPr>
          <w:i/>
          <w:iCs/>
          <w:lang w:val="en-GB"/>
        </w:rPr>
        <w:t xml:space="preserve"> </w:t>
      </w:r>
      <w:proofErr w:type="spellStart"/>
      <w:r w:rsidRPr="00D410D7">
        <w:rPr>
          <w:i/>
          <w:iCs/>
          <w:lang w:val="en-GB"/>
        </w:rPr>
        <w:t>Sadio</w:t>
      </w:r>
      <w:proofErr w:type="spellEnd"/>
      <w:r w:rsidRPr="00D410D7">
        <w:rPr>
          <w:lang w:val="en-GB"/>
        </w:rPr>
        <w:t xml:space="preserve"> </w:t>
      </w:r>
      <w:r w:rsidRPr="00D410D7">
        <w:rPr>
          <w:i/>
          <w:iCs/>
          <w:lang w:val="en-GB"/>
        </w:rPr>
        <w:t>Diallo (Republic of</w:t>
      </w:r>
      <w:r w:rsidRPr="00D410D7">
        <w:rPr>
          <w:lang w:val="en-GB"/>
        </w:rPr>
        <w:t xml:space="preserve"> </w:t>
      </w:r>
      <w:r w:rsidRPr="00D410D7">
        <w:rPr>
          <w:i/>
          <w:iCs/>
          <w:lang w:val="en-GB"/>
        </w:rPr>
        <w:t>Guinea v. Democratic Republic of the Congo)</w:t>
      </w:r>
      <w:r w:rsidRPr="00D410D7">
        <w:rPr>
          <w:lang w:val="en-GB"/>
        </w:rPr>
        <w:t xml:space="preserve">, </w:t>
      </w:r>
      <w:r>
        <w:rPr>
          <w:i/>
          <w:iCs/>
          <w:lang w:val="en-GB"/>
        </w:rPr>
        <w:t>Preliminary Objections</w:t>
      </w:r>
      <w:r w:rsidRPr="00D410D7">
        <w:rPr>
          <w:i/>
          <w:iCs/>
          <w:lang w:val="en-GB"/>
        </w:rPr>
        <w:t>, Judgment</w:t>
      </w:r>
      <w:r>
        <w:rPr>
          <w:i/>
          <w:iCs/>
          <w:lang w:val="en-GB"/>
        </w:rPr>
        <w:t>,</w:t>
      </w:r>
      <w:r w:rsidRPr="00D410D7">
        <w:rPr>
          <w:i/>
          <w:iCs/>
          <w:lang w:val="en-GB"/>
        </w:rPr>
        <w:t xml:space="preserve"> I.C.J. Reports 20</w:t>
      </w:r>
      <w:r>
        <w:rPr>
          <w:i/>
          <w:iCs/>
          <w:lang w:val="en-GB"/>
        </w:rPr>
        <w:t>07</w:t>
      </w:r>
      <w:r>
        <w:rPr>
          <w:lang w:val="en-GB"/>
        </w:rPr>
        <w:t>, p. 582</w:t>
      </w:r>
      <w:r>
        <w:t>.</w:t>
      </w:r>
    </w:p>
  </w:footnote>
  <w:footnote w:id="18">
    <w:p w:rsidR="00451FC7" w:rsidRPr="00E66EC3" w:rsidRDefault="00451FC7" w:rsidP="00187D55">
      <w:pPr>
        <w:pStyle w:val="FootnoteText"/>
      </w:pPr>
      <w:r>
        <w:tab/>
      </w:r>
      <w:r>
        <w:rPr>
          <w:rStyle w:val="FootnoteReference"/>
        </w:rPr>
        <w:footnoteRef/>
      </w:r>
      <w:r>
        <w:tab/>
      </w:r>
      <w:r w:rsidRPr="004141C1">
        <w:rPr>
          <w:i/>
          <w:iCs/>
        </w:rPr>
        <w:t>Questions relating to the Obligation to Prosecute or Extradite (Belgium v. Senegal</w:t>
      </w:r>
      <w:r w:rsidRPr="00D36DC1">
        <w:t>)</w:t>
      </w:r>
      <w:r>
        <w:t>,</w:t>
      </w:r>
      <w:r w:rsidRPr="00D36DC1">
        <w:t xml:space="preserve"> </w:t>
      </w:r>
      <w:r w:rsidRPr="004141C1">
        <w:rPr>
          <w:i/>
          <w:iCs/>
        </w:rPr>
        <w:t>Judgment</w:t>
      </w:r>
      <w:r>
        <w:rPr>
          <w:i/>
          <w:iCs/>
        </w:rPr>
        <w:t>, I.C.J</w:t>
      </w:r>
      <w:r w:rsidRPr="00187D55">
        <w:rPr>
          <w:i/>
          <w:iCs/>
        </w:rPr>
        <w:t xml:space="preserve">. </w:t>
      </w:r>
      <w:r w:rsidRPr="004141C1">
        <w:rPr>
          <w:i/>
          <w:iCs/>
        </w:rPr>
        <w:t>Reports 2012</w:t>
      </w:r>
      <w:r>
        <w:t>, p. 422.</w:t>
      </w:r>
    </w:p>
  </w:footnote>
  <w:footnote w:id="19">
    <w:p w:rsidR="00451FC7" w:rsidRPr="00B3298E" w:rsidRDefault="00451FC7" w:rsidP="00391CC5">
      <w:pPr>
        <w:pStyle w:val="FootnoteText"/>
      </w:pPr>
      <w:r>
        <w:tab/>
      </w:r>
      <w:r>
        <w:rPr>
          <w:rStyle w:val="FootnoteReference"/>
        </w:rPr>
        <w:footnoteRef/>
      </w:r>
      <w:r>
        <w:t xml:space="preserve"> </w:t>
      </w:r>
      <w:r>
        <w:tab/>
      </w:r>
      <w:r w:rsidRPr="00D36DC1">
        <w:t xml:space="preserve">See, </w:t>
      </w:r>
      <w:r>
        <w:t xml:space="preserve">for example, </w:t>
      </w:r>
      <w:r w:rsidRPr="00D36DC1">
        <w:t xml:space="preserve">the International Court of Justice in </w:t>
      </w:r>
      <w:r w:rsidRPr="004141C1">
        <w:rPr>
          <w:i/>
          <w:iCs/>
        </w:rPr>
        <w:t>Diallo</w:t>
      </w:r>
      <w:r w:rsidRPr="00D36DC1">
        <w:t xml:space="preserve"> (</w:t>
      </w:r>
      <w:r w:rsidRPr="00A43702">
        <w:t>Damages)</w:t>
      </w:r>
      <w:r w:rsidRPr="00D36DC1">
        <w:t xml:space="preserve">, the </w:t>
      </w:r>
      <w:r>
        <w:t xml:space="preserve">judgement of the </w:t>
      </w:r>
      <w:r w:rsidRPr="00D36DC1">
        <w:t xml:space="preserve">International Criminal Court in </w:t>
      </w:r>
      <w:r>
        <w:rPr>
          <w:i/>
          <w:iCs/>
        </w:rPr>
        <w:t>T</w:t>
      </w:r>
      <w:r w:rsidRPr="004141C1">
        <w:rPr>
          <w:i/>
          <w:iCs/>
        </w:rPr>
        <w:t>he</w:t>
      </w:r>
      <w:r w:rsidRPr="00D36DC1">
        <w:t xml:space="preserve"> </w:t>
      </w:r>
      <w:r>
        <w:rPr>
          <w:i/>
          <w:iCs/>
        </w:rPr>
        <w:t>P</w:t>
      </w:r>
      <w:r w:rsidRPr="00206114">
        <w:rPr>
          <w:i/>
          <w:iCs/>
        </w:rPr>
        <w:t>rosecutor</w:t>
      </w:r>
      <w:r w:rsidRPr="004141C1">
        <w:rPr>
          <w:i/>
          <w:iCs/>
        </w:rPr>
        <w:t xml:space="preserve"> v. </w:t>
      </w:r>
      <w:proofErr w:type="spellStart"/>
      <w:r w:rsidRPr="00206114">
        <w:rPr>
          <w:i/>
          <w:iCs/>
        </w:rPr>
        <w:t>Lubanga</w:t>
      </w:r>
      <w:proofErr w:type="spellEnd"/>
      <w:r w:rsidRPr="00206114">
        <w:rPr>
          <w:i/>
          <w:iCs/>
        </w:rPr>
        <w:t xml:space="preserve"> </w:t>
      </w:r>
      <w:proofErr w:type="spellStart"/>
      <w:r w:rsidRPr="00206114">
        <w:rPr>
          <w:i/>
          <w:iCs/>
        </w:rPr>
        <w:t>Dyilo</w:t>
      </w:r>
      <w:proofErr w:type="spellEnd"/>
      <w:r>
        <w:t xml:space="preserve"> </w:t>
      </w:r>
      <w:r w:rsidRPr="00D36DC1">
        <w:t xml:space="preserve">(2012) </w:t>
      </w:r>
      <w:r w:rsidRPr="00502E30">
        <w:t>and</w:t>
      </w:r>
      <w:r>
        <w:t xml:space="preserve"> the jurisprudence</w:t>
      </w:r>
      <w:r w:rsidRPr="00502E30">
        <w:t xml:space="preserve"> of</w:t>
      </w:r>
      <w:r w:rsidRPr="00D36DC1">
        <w:t xml:space="preserve"> the U</w:t>
      </w:r>
      <w:r>
        <w:t>nited Nations</w:t>
      </w:r>
      <w:r w:rsidRPr="00D36DC1">
        <w:t xml:space="preserve"> treaty bodies, in particular the Human Rights Committee and the Committee </w:t>
      </w:r>
      <w:r>
        <w:t>a</w:t>
      </w:r>
      <w:r w:rsidRPr="00D36DC1">
        <w:t>gainst Torture</w:t>
      </w:r>
      <w:r w:rsidRPr="00A43702">
        <w:t xml:space="preserve">, as well as </w:t>
      </w:r>
      <w:r>
        <w:t xml:space="preserve">reports by </w:t>
      </w:r>
      <w:r w:rsidRPr="00A43702">
        <w:t>special procedures</w:t>
      </w:r>
      <w:r>
        <w:t xml:space="preserve"> mandate holders</w:t>
      </w:r>
      <w:r w:rsidRPr="00A43702">
        <w:t>.</w:t>
      </w:r>
      <w:r w:rsidRPr="00D36DC1">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C7" w:rsidRPr="00925ACE" w:rsidRDefault="00451FC7" w:rsidP="00925ACE">
    <w:pPr>
      <w:pStyle w:val="Header"/>
    </w:pPr>
    <w:r w:rsidRPr="00925ACE">
      <w:t>A/HRC/</w:t>
    </w:r>
    <w:r>
      <w:t>30</w:t>
    </w:r>
    <w:r w:rsidRPr="00925ACE">
      <w:t>/</w:t>
    </w:r>
    <w:r>
      <w:t>36</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C7" w:rsidRPr="00925ACE" w:rsidRDefault="00451FC7" w:rsidP="00925ACE">
    <w:pPr>
      <w:pStyle w:val="Header"/>
      <w:jc w:val="right"/>
    </w:pPr>
    <w:r w:rsidRPr="00925ACE">
      <w:t>A/HRC/</w:t>
    </w:r>
    <w:r>
      <w:t>30</w:t>
    </w:r>
    <w:r w:rsidRPr="00925ACE">
      <w:t>/</w:t>
    </w:r>
    <w:r>
      <w:t>36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DE6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AFEC362"/>
    <w:lvl w:ilvl="0">
      <w:start w:val="1"/>
      <w:numFmt w:val="decimal"/>
      <w:lvlText w:val="%1."/>
      <w:lvlJc w:val="left"/>
      <w:pPr>
        <w:tabs>
          <w:tab w:val="num" w:pos="1492"/>
        </w:tabs>
        <w:ind w:left="1492" w:hanging="360"/>
      </w:pPr>
    </w:lvl>
  </w:abstractNum>
  <w:abstractNum w:abstractNumId="2">
    <w:nsid w:val="FFFFFF7D"/>
    <w:multiLevelType w:val="singleLevel"/>
    <w:tmpl w:val="8F507AD2"/>
    <w:lvl w:ilvl="0">
      <w:start w:val="1"/>
      <w:numFmt w:val="decimal"/>
      <w:lvlText w:val="%1."/>
      <w:lvlJc w:val="left"/>
      <w:pPr>
        <w:tabs>
          <w:tab w:val="num" w:pos="1209"/>
        </w:tabs>
        <w:ind w:left="1209" w:hanging="360"/>
      </w:pPr>
    </w:lvl>
  </w:abstractNum>
  <w:abstractNum w:abstractNumId="3">
    <w:nsid w:val="FFFFFF7E"/>
    <w:multiLevelType w:val="singleLevel"/>
    <w:tmpl w:val="980EE60A"/>
    <w:lvl w:ilvl="0">
      <w:start w:val="1"/>
      <w:numFmt w:val="decimal"/>
      <w:lvlText w:val="%1."/>
      <w:lvlJc w:val="left"/>
      <w:pPr>
        <w:tabs>
          <w:tab w:val="num" w:pos="926"/>
        </w:tabs>
        <w:ind w:left="926" w:hanging="360"/>
      </w:pPr>
    </w:lvl>
  </w:abstractNum>
  <w:abstractNum w:abstractNumId="4">
    <w:nsid w:val="FFFFFF7F"/>
    <w:multiLevelType w:val="singleLevel"/>
    <w:tmpl w:val="5B7AE49A"/>
    <w:lvl w:ilvl="0">
      <w:start w:val="1"/>
      <w:numFmt w:val="decimal"/>
      <w:lvlText w:val="%1."/>
      <w:lvlJc w:val="left"/>
      <w:pPr>
        <w:tabs>
          <w:tab w:val="num" w:pos="643"/>
        </w:tabs>
        <w:ind w:left="643" w:hanging="360"/>
      </w:pPr>
    </w:lvl>
  </w:abstractNum>
  <w:abstractNum w:abstractNumId="5">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BFE3A64"/>
    <w:lvl w:ilvl="0">
      <w:start w:val="1"/>
      <w:numFmt w:val="decimal"/>
      <w:lvlText w:val="%1."/>
      <w:lvlJc w:val="left"/>
      <w:pPr>
        <w:tabs>
          <w:tab w:val="num" w:pos="360"/>
        </w:tabs>
        <w:ind w:left="360" w:hanging="360"/>
      </w:pPr>
    </w:lvl>
  </w:abstractNum>
  <w:abstractNum w:abstractNumId="1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1">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8D686D"/>
    <w:multiLevelType w:val="hybridMultilevel"/>
    <w:tmpl w:val="8620E7E2"/>
    <w:lvl w:ilvl="0" w:tplc="3A7063AE">
      <w:start w:val="1"/>
      <w:numFmt w:val="lowerLetter"/>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08414E81"/>
    <w:multiLevelType w:val="hybridMultilevel"/>
    <w:tmpl w:val="43C8AC6E"/>
    <w:lvl w:ilvl="0" w:tplc="9112FC3C">
      <w:start w:val="1"/>
      <w:numFmt w:val="decimal"/>
      <w:lvlText w:val="%1."/>
      <w:lvlJc w:val="left"/>
      <w:pPr>
        <w:ind w:left="360" w:hanging="360"/>
      </w:pPr>
      <w:rPr>
        <w:b w:val="0"/>
        <w:color w:val="auto"/>
        <w:lang w:val="en-G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124B7063"/>
    <w:multiLevelType w:val="hybridMultilevel"/>
    <w:tmpl w:val="F3EC3DE0"/>
    <w:lvl w:ilvl="0" w:tplc="3B20A9AE">
      <w:start w:val="1"/>
      <w:numFmt w:val="decimal"/>
      <w:lvlText w:val="%1."/>
      <w:lvlJc w:val="left"/>
      <w:pPr>
        <w:ind w:left="1689" w:hanging="555"/>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40751F"/>
    <w:multiLevelType w:val="hybridMultilevel"/>
    <w:tmpl w:val="06BA8876"/>
    <w:lvl w:ilvl="0" w:tplc="0809000F">
      <w:start w:val="1"/>
      <w:numFmt w:val="decimal"/>
      <w:lvlText w:val="%1."/>
      <w:lvlJc w:val="left"/>
      <w:pPr>
        <w:ind w:left="3338"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nsid w:val="28546A54"/>
    <w:multiLevelType w:val="hybridMultilevel"/>
    <w:tmpl w:val="5F128DDC"/>
    <w:lvl w:ilvl="0" w:tplc="97F4E6FC">
      <w:start w:val="1"/>
      <w:numFmt w:val="decimal"/>
      <w:lvlText w:val="%1."/>
      <w:lvlJc w:val="left"/>
      <w:pPr>
        <w:ind w:left="3958" w:hanging="555"/>
      </w:pPr>
      <w:rPr>
        <w:rFonts w:hint="default"/>
        <w:i w:val="0"/>
        <w:sz w:val="20"/>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3F53CE"/>
    <w:multiLevelType w:val="hybridMultilevel"/>
    <w:tmpl w:val="845A0182"/>
    <w:lvl w:ilvl="0" w:tplc="2F22988C">
      <w:start w:val="1"/>
      <w:numFmt w:val="decimal"/>
      <w:lvlText w:val="%1."/>
      <w:lvlJc w:val="left"/>
      <w:pPr>
        <w:ind w:left="2912" w:hanging="360"/>
      </w:pPr>
      <w:rPr>
        <w:b w:val="0"/>
        <w:color w:val="auto"/>
        <w:lang w:val="en-U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nsid w:val="4A404D42"/>
    <w:multiLevelType w:val="hybridMultilevel"/>
    <w:tmpl w:val="A976C8DE"/>
    <w:lvl w:ilvl="0" w:tplc="22E4F820">
      <w:start w:val="1"/>
      <w:numFmt w:val="decimal"/>
      <w:lvlText w:val="%1."/>
      <w:lvlJc w:val="left"/>
      <w:pPr>
        <w:ind w:left="1353"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nsid w:val="545767C9"/>
    <w:multiLevelType w:val="hybridMultilevel"/>
    <w:tmpl w:val="BB5E7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BC78E0"/>
    <w:multiLevelType w:val="hybridMultilevel"/>
    <w:tmpl w:val="D9764668"/>
    <w:lvl w:ilvl="0" w:tplc="22E4F820">
      <w:start w:val="1"/>
      <w:numFmt w:val="decimal"/>
      <w:lvlText w:val="%1."/>
      <w:lvlJc w:val="left"/>
      <w:pPr>
        <w:ind w:left="1353"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nsid w:val="59B303C9"/>
    <w:multiLevelType w:val="hybridMultilevel"/>
    <w:tmpl w:val="C36EDCB6"/>
    <w:lvl w:ilvl="0" w:tplc="9112FC3C">
      <w:start w:val="1"/>
      <w:numFmt w:val="decimal"/>
      <w:lvlText w:val="%1."/>
      <w:lvlJc w:val="left"/>
      <w:pPr>
        <w:ind w:left="360" w:hanging="360"/>
      </w:pPr>
      <w:rPr>
        <w:b w:val="0"/>
        <w:color w:val="auto"/>
        <w:lang w:val="en-G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nsid w:val="5B47073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6A296FEF"/>
    <w:multiLevelType w:val="hybridMultilevel"/>
    <w:tmpl w:val="FE746978"/>
    <w:lvl w:ilvl="0" w:tplc="9112FC3C">
      <w:start w:val="1"/>
      <w:numFmt w:val="decimal"/>
      <w:lvlText w:val="%1."/>
      <w:lvlJc w:val="left"/>
      <w:pPr>
        <w:ind w:left="360" w:hanging="360"/>
      </w:pPr>
      <w:rPr>
        <w:b w:val="0"/>
        <w:color w:val="auto"/>
        <w:lang w:val="en-G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nsid w:val="743276AB"/>
    <w:multiLevelType w:val="hybridMultilevel"/>
    <w:tmpl w:val="A34E7090"/>
    <w:lvl w:ilvl="0" w:tplc="0809000F">
      <w:start w:val="1"/>
      <w:numFmt w:val="decimal"/>
      <w:lvlText w:val="%1."/>
      <w:lvlJc w:val="left"/>
      <w:pPr>
        <w:ind w:left="3337"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nsid w:val="74D43793"/>
    <w:multiLevelType w:val="hybridMultilevel"/>
    <w:tmpl w:val="5224C57E"/>
    <w:lvl w:ilvl="0" w:tplc="22E4F820">
      <w:start w:val="1"/>
      <w:numFmt w:val="decimal"/>
      <w:lvlText w:val="%1."/>
      <w:lvlJc w:val="left"/>
      <w:pPr>
        <w:ind w:left="1495"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nsid w:val="7595346C"/>
    <w:multiLevelType w:val="hybridMultilevel"/>
    <w:tmpl w:val="5224C57E"/>
    <w:lvl w:ilvl="0" w:tplc="22E4F820">
      <w:start w:val="1"/>
      <w:numFmt w:val="decimal"/>
      <w:lvlText w:val="%1."/>
      <w:lvlJc w:val="left"/>
      <w:pPr>
        <w:ind w:left="1495"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nsid w:val="75F870DE"/>
    <w:multiLevelType w:val="hybridMultilevel"/>
    <w:tmpl w:val="EE9C9146"/>
    <w:lvl w:ilvl="0" w:tplc="9112FC3C">
      <w:start w:val="1"/>
      <w:numFmt w:val="decimal"/>
      <w:lvlText w:val="%1."/>
      <w:lvlJc w:val="left"/>
      <w:pPr>
        <w:ind w:left="5180" w:hanging="360"/>
      </w:pPr>
      <w:rPr>
        <w:b w:val="0"/>
        <w:color w:val="auto"/>
        <w:lang w:val="en-G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nsid w:val="7E805648"/>
    <w:multiLevelType w:val="hybridMultilevel"/>
    <w:tmpl w:val="9C8E7C64"/>
    <w:lvl w:ilvl="0" w:tplc="0809000F">
      <w:start w:val="1"/>
      <w:numFmt w:val="decimal"/>
      <w:lvlText w:val="%1."/>
      <w:lvlJc w:val="left"/>
      <w:pPr>
        <w:ind w:left="1637"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9"/>
  </w:num>
  <w:num w:numId="2">
    <w:abstractNumId w:val="16"/>
  </w:num>
  <w:num w:numId="3">
    <w:abstractNumId w:val="26"/>
  </w:num>
  <w:num w:numId="4">
    <w:abstractNumId w:val="15"/>
  </w:num>
  <w:num w:numId="5">
    <w:abstractNumId w:val="11"/>
  </w:num>
  <w:num w:numId="6">
    <w:abstractNumId w:val="2"/>
  </w:num>
  <w:num w:numId="7">
    <w:abstractNumId w:val="1"/>
  </w:num>
  <w:num w:numId="8">
    <w:abstractNumId w:val="3"/>
  </w:num>
  <w:num w:numId="9">
    <w:abstractNumId w:val="4"/>
  </w:num>
  <w:num w:numId="10">
    <w:abstractNumId w:val="9"/>
  </w:num>
  <w:num w:numId="11">
    <w:abstractNumId w:val="10"/>
  </w:num>
  <w:num w:numId="12">
    <w:abstractNumId w:val="8"/>
  </w:num>
  <w:num w:numId="13">
    <w:abstractNumId w:val="7"/>
  </w:num>
  <w:num w:numId="14">
    <w:abstractNumId w:val="6"/>
  </w:num>
  <w:num w:numId="15">
    <w:abstractNumId w:val="5"/>
  </w:num>
  <w:num w:numId="16">
    <w:abstractNumId w:val="25"/>
  </w:num>
  <w:num w:numId="17">
    <w:abstractNumId w:val="32"/>
  </w:num>
  <w:num w:numId="18">
    <w:abstractNumId w:val="18"/>
  </w:num>
  <w:num w:numId="19">
    <w:abstractNumId w:val="18"/>
    <w:lvlOverride w:ilvl="0">
      <w:startOverride w:val="1"/>
    </w:lvlOverride>
  </w:num>
  <w:num w:numId="20">
    <w:abstractNumId w:val="17"/>
  </w:num>
  <w:num w:numId="21">
    <w:abstractNumId w:val="20"/>
  </w:num>
  <w:num w:numId="22">
    <w:abstractNumId w:val="14"/>
  </w:num>
  <w:num w:numId="23">
    <w:abstractNumId w:val="28"/>
  </w:num>
  <w:num w:numId="24">
    <w:abstractNumId w:val="0"/>
  </w:num>
  <w:num w:numId="25">
    <w:abstractNumId w:val="12"/>
  </w:num>
  <w:num w:numId="26">
    <w:abstractNumId w:val="30"/>
  </w:num>
  <w:num w:numId="27">
    <w:abstractNumId w:val="22"/>
  </w:num>
  <w:num w:numId="28">
    <w:abstractNumId w:val="29"/>
  </w:num>
  <w:num w:numId="29">
    <w:abstractNumId w:val="21"/>
  </w:num>
  <w:num w:numId="30">
    <w:abstractNumId w:val="23"/>
  </w:num>
  <w:num w:numId="31">
    <w:abstractNumId w:val="27"/>
  </w:num>
  <w:num w:numId="32">
    <w:abstractNumId w:val="13"/>
  </w:num>
  <w:num w:numId="33">
    <w:abstractNumId w:val="24"/>
  </w:num>
  <w:num w:numId="34">
    <w:abstractNumId w:val="31"/>
  </w:num>
  <w:num w:numId="35">
    <w:abstractNumId w:val="19"/>
  </w:num>
  <w:num w:numId="3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s-BO"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CL" w:vendorID="64" w:dllVersion="131078" w:nlCheck="1" w:checkStyle="1"/>
  <w:activeWritingStyle w:appName="MSWord" w:lang="en-CA"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CEF"/>
    <w:rsid w:val="0000104B"/>
    <w:rsid w:val="00002B39"/>
    <w:rsid w:val="00011FA2"/>
    <w:rsid w:val="0001306D"/>
    <w:rsid w:val="00013F51"/>
    <w:rsid w:val="00013F90"/>
    <w:rsid w:val="00015892"/>
    <w:rsid w:val="00017F92"/>
    <w:rsid w:val="0002050C"/>
    <w:rsid w:val="00021AF6"/>
    <w:rsid w:val="00026542"/>
    <w:rsid w:val="00027496"/>
    <w:rsid w:val="00027B76"/>
    <w:rsid w:val="000309AE"/>
    <w:rsid w:val="00032B2F"/>
    <w:rsid w:val="000375D7"/>
    <w:rsid w:val="00042869"/>
    <w:rsid w:val="00042892"/>
    <w:rsid w:val="0004401B"/>
    <w:rsid w:val="00044AC3"/>
    <w:rsid w:val="000469F5"/>
    <w:rsid w:val="00051FB9"/>
    <w:rsid w:val="00054283"/>
    <w:rsid w:val="00055952"/>
    <w:rsid w:val="00055C66"/>
    <w:rsid w:val="000563CF"/>
    <w:rsid w:val="00056DDC"/>
    <w:rsid w:val="00061037"/>
    <w:rsid w:val="00061CDC"/>
    <w:rsid w:val="0006414A"/>
    <w:rsid w:val="0006493D"/>
    <w:rsid w:val="00064940"/>
    <w:rsid w:val="00064958"/>
    <w:rsid w:val="000706AF"/>
    <w:rsid w:val="00070D1D"/>
    <w:rsid w:val="00072B94"/>
    <w:rsid w:val="000736F4"/>
    <w:rsid w:val="000764B1"/>
    <w:rsid w:val="000764DB"/>
    <w:rsid w:val="00076C46"/>
    <w:rsid w:val="00076CFA"/>
    <w:rsid w:val="00076FB6"/>
    <w:rsid w:val="0007710E"/>
    <w:rsid w:val="0008199F"/>
    <w:rsid w:val="00081F24"/>
    <w:rsid w:val="0008274D"/>
    <w:rsid w:val="000832A0"/>
    <w:rsid w:val="0008365A"/>
    <w:rsid w:val="00083DB3"/>
    <w:rsid w:val="00085472"/>
    <w:rsid w:val="00091AD1"/>
    <w:rsid w:val="00092C27"/>
    <w:rsid w:val="00093FC6"/>
    <w:rsid w:val="000942A5"/>
    <w:rsid w:val="00094B12"/>
    <w:rsid w:val="000A10B9"/>
    <w:rsid w:val="000A198D"/>
    <w:rsid w:val="000A1C8A"/>
    <w:rsid w:val="000A20A5"/>
    <w:rsid w:val="000A292F"/>
    <w:rsid w:val="000A5704"/>
    <w:rsid w:val="000A6F5B"/>
    <w:rsid w:val="000B3CC7"/>
    <w:rsid w:val="000B4007"/>
    <w:rsid w:val="000B5523"/>
    <w:rsid w:val="000C1E2A"/>
    <w:rsid w:val="000C2C65"/>
    <w:rsid w:val="000C4B1B"/>
    <w:rsid w:val="000C5464"/>
    <w:rsid w:val="000D26B1"/>
    <w:rsid w:val="000D3210"/>
    <w:rsid w:val="000D38AA"/>
    <w:rsid w:val="000D397E"/>
    <w:rsid w:val="000D3FC9"/>
    <w:rsid w:val="000D75B3"/>
    <w:rsid w:val="000D7AD5"/>
    <w:rsid w:val="000E25A2"/>
    <w:rsid w:val="000E2733"/>
    <w:rsid w:val="000E32CB"/>
    <w:rsid w:val="000E6F3B"/>
    <w:rsid w:val="000E78BA"/>
    <w:rsid w:val="000F2C8B"/>
    <w:rsid w:val="000F36DD"/>
    <w:rsid w:val="00100AC1"/>
    <w:rsid w:val="001010BF"/>
    <w:rsid w:val="001038EF"/>
    <w:rsid w:val="00103EB7"/>
    <w:rsid w:val="00106BD0"/>
    <w:rsid w:val="00107192"/>
    <w:rsid w:val="001109F7"/>
    <w:rsid w:val="00110E70"/>
    <w:rsid w:val="00110FC4"/>
    <w:rsid w:val="00111476"/>
    <w:rsid w:val="001132A5"/>
    <w:rsid w:val="0011412D"/>
    <w:rsid w:val="00114C39"/>
    <w:rsid w:val="00121693"/>
    <w:rsid w:val="00122D41"/>
    <w:rsid w:val="001242C9"/>
    <w:rsid w:val="00124486"/>
    <w:rsid w:val="001249AD"/>
    <w:rsid w:val="00131A1B"/>
    <w:rsid w:val="00132B71"/>
    <w:rsid w:val="0013656A"/>
    <w:rsid w:val="00142B77"/>
    <w:rsid w:val="001461C5"/>
    <w:rsid w:val="001472DE"/>
    <w:rsid w:val="0015090A"/>
    <w:rsid w:val="001603B4"/>
    <w:rsid w:val="00165978"/>
    <w:rsid w:val="00165E89"/>
    <w:rsid w:val="00172811"/>
    <w:rsid w:val="001738BA"/>
    <w:rsid w:val="00174696"/>
    <w:rsid w:val="00174A88"/>
    <w:rsid w:val="00176B09"/>
    <w:rsid w:val="00177C81"/>
    <w:rsid w:val="0018110E"/>
    <w:rsid w:val="00182AC5"/>
    <w:rsid w:val="00185A1E"/>
    <w:rsid w:val="00185B02"/>
    <w:rsid w:val="00187CBF"/>
    <w:rsid w:val="00187D55"/>
    <w:rsid w:val="00187E27"/>
    <w:rsid w:val="0019059A"/>
    <w:rsid w:val="001915CB"/>
    <w:rsid w:val="00193C1D"/>
    <w:rsid w:val="0019410D"/>
    <w:rsid w:val="001977E6"/>
    <w:rsid w:val="00197B4C"/>
    <w:rsid w:val="001A2867"/>
    <w:rsid w:val="001A2E24"/>
    <w:rsid w:val="001A5541"/>
    <w:rsid w:val="001A61E4"/>
    <w:rsid w:val="001A6A9C"/>
    <w:rsid w:val="001B14B1"/>
    <w:rsid w:val="001B2944"/>
    <w:rsid w:val="001B38EB"/>
    <w:rsid w:val="001B5E03"/>
    <w:rsid w:val="001B62D2"/>
    <w:rsid w:val="001B63A2"/>
    <w:rsid w:val="001B6410"/>
    <w:rsid w:val="001B7EA9"/>
    <w:rsid w:val="001C2BE5"/>
    <w:rsid w:val="001D3248"/>
    <w:rsid w:val="001D71C4"/>
    <w:rsid w:val="001E0B7B"/>
    <w:rsid w:val="001E14C3"/>
    <w:rsid w:val="001E4CD3"/>
    <w:rsid w:val="001E742C"/>
    <w:rsid w:val="001F1000"/>
    <w:rsid w:val="001F29AF"/>
    <w:rsid w:val="001F2DD2"/>
    <w:rsid w:val="001F3FF6"/>
    <w:rsid w:val="001F50A1"/>
    <w:rsid w:val="001F5628"/>
    <w:rsid w:val="001F5E2E"/>
    <w:rsid w:val="001F713A"/>
    <w:rsid w:val="00200A7F"/>
    <w:rsid w:val="00200ACB"/>
    <w:rsid w:val="00202183"/>
    <w:rsid w:val="0020447B"/>
    <w:rsid w:val="00204B5B"/>
    <w:rsid w:val="002052BA"/>
    <w:rsid w:val="00206114"/>
    <w:rsid w:val="00207B68"/>
    <w:rsid w:val="00210B82"/>
    <w:rsid w:val="00211DB8"/>
    <w:rsid w:val="00213A28"/>
    <w:rsid w:val="00215A68"/>
    <w:rsid w:val="00215AE7"/>
    <w:rsid w:val="00215F2E"/>
    <w:rsid w:val="0021743E"/>
    <w:rsid w:val="00217606"/>
    <w:rsid w:val="00223E52"/>
    <w:rsid w:val="00225A04"/>
    <w:rsid w:val="002317BC"/>
    <w:rsid w:val="00231BF5"/>
    <w:rsid w:val="0023368E"/>
    <w:rsid w:val="00234187"/>
    <w:rsid w:val="00234A12"/>
    <w:rsid w:val="00234B3D"/>
    <w:rsid w:val="00236085"/>
    <w:rsid w:val="002373AC"/>
    <w:rsid w:val="00243C50"/>
    <w:rsid w:val="00243FC8"/>
    <w:rsid w:val="00245C60"/>
    <w:rsid w:val="0024630A"/>
    <w:rsid w:val="00246800"/>
    <w:rsid w:val="0025076E"/>
    <w:rsid w:val="0025204A"/>
    <w:rsid w:val="0025450B"/>
    <w:rsid w:val="002562A6"/>
    <w:rsid w:val="00256C8D"/>
    <w:rsid w:val="00256FDD"/>
    <w:rsid w:val="0026202F"/>
    <w:rsid w:val="002658D8"/>
    <w:rsid w:val="0027300B"/>
    <w:rsid w:val="0027364A"/>
    <w:rsid w:val="002740C2"/>
    <w:rsid w:val="00275393"/>
    <w:rsid w:val="002753C9"/>
    <w:rsid w:val="002755A4"/>
    <w:rsid w:val="0027687B"/>
    <w:rsid w:val="0027737E"/>
    <w:rsid w:val="002816AA"/>
    <w:rsid w:val="002828A7"/>
    <w:rsid w:val="00282A89"/>
    <w:rsid w:val="002860A4"/>
    <w:rsid w:val="0028665E"/>
    <w:rsid w:val="00290DE8"/>
    <w:rsid w:val="00290ED0"/>
    <w:rsid w:val="00291A39"/>
    <w:rsid w:val="00293437"/>
    <w:rsid w:val="002935D4"/>
    <w:rsid w:val="002956B8"/>
    <w:rsid w:val="002A053F"/>
    <w:rsid w:val="002A26BB"/>
    <w:rsid w:val="002A555B"/>
    <w:rsid w:val="002B63E0"/>
    <w:rsid w:val="002B67F2"/>
    <w:rsid w:val="002B6C29"/>
    <w:rsid w:val="002C0879"/>
    <w:rsid w:val="002C30BE"/>
    <w:rsid w:val="002D1859"/>
    <w:rsid w:val="002D4FB3"/>
    <w:rsid w:val="002D5D59"/>
    <w:rsid w:val="002D66F8"/>
    <w:rsid w:val="002D67CF"/>
    <w:rsid w:val="002D75E1"/>
    <w:rsid w:val="002E09DF"/>
    <w:rsid w:val="002F3880"/>
    <w:rsid w:val="002F49AD"/>
    <w:rsid w:val="002F5682"/>
    <w:rsid w:val="002F6E2A"/>
    <w:rsid w:val="003001F7"/>
    <w:rsid w:val="00301655"/>
    <w:rsid w:val="003016A0"/>
    <w:rsid w:val="003018DA"/>
    <w:rsid w:val="00304F3D"/>
    <w:rsid w:val="00310A00"/>
    <w:rsid w:val="00310D87"/>
    <w:rsid w:val="00311665"/>
    <w:rsid w:val="00311C55"/>
    <w:rsid w:val="00311D1B"/>
    <w:rsid w:val="00313777"/>
    <w:rsid w:val="00315BEE"/>
    <w:rsid w:val="003160E2"/>
    <w:rsid w:val="00320574"/>
    <w:rsid w:val="003238C8"/>
    <w:rsid w:val="00327BFC"/>
    <w:rsid w:val="00327FB7"/>
    <w:rsid w:val="00330836"/>
    <w:rsid w:val="00330F20"/>
    <w:rsid w:val="00334176"/>
    <w:rsid w:val="00337FBB"/>
    <w:rsid w:val="0034118A"/>
    <w:rsid w:val="00342967"/>
    <w:rsid w:val="0034328F"/>
    <w:rsid w:val="00343749"/>
    <w:rsid w:val="00343AAD"/>
    <w:rsid w:val="00343CC8"/>
    <w:rsid w:val="00346475"/>
    <w:rsid w:val="00346C37"/>
    <w:rsid w:val="00347D23"/>
    <w:rsid w:val="00350294"/>
    <w:rsid w:val="00351B0A"/>
    <w:rsid w:val="0035243D"/>
    <w:rsid w:val="00353297"/>
    <w:rsid w:val="00355FE0"/>
    <w:rsid w:val="003578DF"/>
    <w:rsid w:val="00357AE5"/>
    <w:rsid w:val="003600E5"/>
    <w:rsid w:val="0036787B"/>
    <w:rsid w:val="0037162F"/>
    <w:rsid w:val="00372C17"/>
    <w:rsid w:val="00375BAD"/>
    <w:rsid w:val="00380282"/>
    <w:rsid w:val="00381275"/>
    <w:rsid w:val="0038187A"/>
    <w:rsid w:val="003827F1"/>
    <w:rsid w:val="003828A6"/>
    <w:rsid w:val="00382B13"/>
    <w:rsid w:val="00384D50"/>
    <w:rsid w:val="00385639"/>
    <w:rsid w:val="003879FD"/>
    <w:rsid w:val="0039003D"/>
    <w:rsid w:val="0039015B"/>
    <w:rsid w:val="00391CC5"/>
    <w:rsid w:val="00392329"/>
    <w:rsid w:val="003934FD"/>
    <w:rsid w:val="003935A8"/>
    <w:rsid w:val="0039430A"/>
    <w:rsid w:val="00394B38"/>
    <w:rsid w:val="00396B40"/>
    <w:rsid w:val="003A3181"/>
    <w:rsid w:val="003A3770"/>
    <w:rsid w:val="003A3859"/>
    <w:rsid w:val="003A3B27"/>
    <w:rsid w:val="003A4736"/>
    <w:rsid w:val="003A686C"/>
    <w:rsid w:val="003A6951"/>
    <w:rsid w:val="003A7C42"/>
    <w:rsid w:val="003B19D0"/>
    <w:rsid w:val="003B2DFE"/>
    <w:rsid w:val="003B325E"/>
    <w:rsid w:val="003B3ABD"/>
    <w:rsid w:val="003B51C5"/>
    <w:rsid w:val="003B5F83"/>
    <w:rsid w:val="003C0680"/>
    <w:rsid w:val="003C6A96"/>
    <w:rsid w:val="003C70BA"/>
    <w:rsid w:val="003D02CE"/>
    <w:rsid w:val="003D1C20"/>
    <w:rsid w:val="003D2C6C"/>
    <w:rsid w:val="003D3475"/>
    <w:rsid w:val="003E2677"/>
    <w:rsid w:val="003E3806"/>
    <w:rsid w:val="003E4C43"/>
    <w:rsid w:val="003E5EA4"/>
    <w:rsid w:val="003E6477"/>
    <w:rsid w:val="003E6BE7"/>
    <w:rsid w:val="003F09EB"/>
    <w:rsid w:val="003F0AF9"/>
    <w:rsid w:val="003F22A6"/>
    <w:rsid w:val="003F3B46"/>
    <w:rsid w:val="003F3FEF"/>
    <w:rsid w:val="003F7892"/>
    <w:rsid w:val="00401423"/>
    <w:rsid w:val="00401D15"/>
    <w:rsid w:val="0040605F"/>
    <w:rsid w:val="00406846"/>
    <w:rsid w:val="00407A74"/>
    <w:rsid w:val="00407A8D"/>
    <w:rsid w:val="00410936"/>
    <w:rsid w:val="004141C1"/>
    <w:rsid w:val="00414FFD"/>
    <w:rsid w:val="00415F66"/>
    <w:rsid w:val="00416FE2"/>
    <w:rsid w:val="004209B1"/>
    <w:rsid w:val="0042190A"/>
    <w:rsid w:val="00421C78"/>
    <w:rsid w:val="00422B06"/>
    <w:rsid w:val="00423051"/>
    <w:rsid w:val="004235CB"/>
    <w:rsid w:val="00425A2A"/>
    <w:rsid w:val="00427922"/>
    <w:rsid w:val="00430605"/>
    <w:rsid w:val="00430B0B"/>
    <w:rsid w:val="0043249A"/>
    <w:rsid w:val="00435A9E"/>
    <w:rsid w:val="00436B45"/>
    <w:rsid w:val="00437273"/>
    <w:rsid w:val="004400C5"/>
    <w:rsid w:val="004424CC"/>
    <w:rsid w:val="0044606A"/>
    <w:rsid w:val="00446BC0"/>
    <w:rsid w:val="004479A0"/>
    <w:rsid w:val="00451FC7"/>
    <w:rsid w:val="00452534"/>
    <w:rsid w:val="00452646"/>
    <w:rsid w:val="00452D77"/>
    <w:rsid w:val="004533F7"/>
    <w:rsid w:val="00462D67"/>
    <w:rsid w:val="00463C15"/>
    <w:rsid w:val="004668C8"/>
    <w:rsid w:val="00467FB1"/>
    <w:rsid w:val="0047352B"/>
    <w:rsid w:val="00474AF2"/>
    <w:rsid w:val="00474F94"/>
    <w:rsid w:val="00476B82"/>
    <w:rsid w:val="00480961"/>
    <w:rsid w:val="0048219F"/>
    <w:rsid w:val="00482C75"/>
    <w:rsid w:val="00484AA2"/>
    <w:rsid w:val="00485B6E"/>
    <w:rsid w:val="00486D70"/>
    <w:rsid w:val="00490BD1"/>
    <w:rsid w:val="00491FA7"/>
    <w:rsid w:val="004927DA"/>
    <w:rsid w:val="004928FC"/>
    <w:rsid w:val="0049304D"/>
    <w:rsid w:val="00493CA3"/>
    <w:rsid w:val="00495FBA"/>
    <w:rsid w:val="0049617C"/>
    <w:rsid w:val="00497B53"/>
    <w:rsid w:val="004A1D04"/>
    <w:rsid w:val="004A6BFB"/>
    <w:rsid w:val="004A6D9C"/>
    <w:rsid w:val="004B0CD2"/>
    <w:rsid w:val="004B0D13"/>
    <w:rsid w:val="004B499C"/>
    <w:rsid w:val="004B5B01"/>
    <w:rsid w:val="004C3820"/>
    <w:rsid w:val="004C3F37"/>
    <w:rsid w:val="004C3F3B"/>
    <w:rsid w:val="004C47B1"/>
    <w:rsid w:val="004D08B1"/>
    <w:rsid w:val="004D0BDE"/>
    <w:rsid w:val="004D0FE6"/>
    <w:rsid w:val="004D3485"/>
    <w:rsid w:val="004D3582"/>
    <w:rsid w:val="004D3BAF"/>
    <w:rsid w:val="004E0F75"/>
    <w:rsid w:val="004E15BE"/>
    <w:rsid w:val="004E3BC2"/>
    <w:rsid w:val="004E5AB6"/>
    <w:rsid w:val="004E5EBC"/>
    <w:rsid w:val="004F2D38"/>
    <w:rsid w:val="004F3E7C"/>
    <w:rsid w:val="004F409A"/>
    <w:rsid w:val="004F50E4"/>
    <w:rsid w:val="004F55A7"/>
    <w:rsid w:val="004F5907"/>
    <w:rsid w:val="00502E30"/>
    <w:rsid w:val="00503791"/>
    <w:rsid w:val="005040BC"/>
    <w:rsid w:val="00505A20"/>
    <w:rsid w:val="00506A24"/>
    <w:rsid w:val="005070F2"/>
    <w:rsid w:val="00511F0A"/>
    <w:rsid w:val="00513920"/>
    <w:rsid w:val="005165AF"/>
    <w:rsid w:val="00516B3E"/>
    <w:rsid w:val="00517B77"/>
    <w:rsid w:val="00520C6C"/>
    <w:rsid w:val="005216A7"/>
    <w:rsid w:val="005241C0"/>
    <w:rsid w:val="0052591C"/>
    <w:rsid w:val="0052606A"/>
    <w:rsid w:val="00531F4D"/>
    <w:rsid w:val="00534756"/>
    <w:rsid w:val="00536AA9"/>
    <w:rsid w:val="00540957"/>
    <w:rsid w:val="00542374"/>
    <w:rsid w:val="0054462B"/>
    <w:rsid w:val="00545D42"/>
    <w:rsid w:val="0054632A"/>
    <w:rsid w:val="005525DA"/>
    <w:rsid w:val="00555695"/>
    <w:rsid w:val="00555797"/>
    <w:rsid w:val="00555ACD"/>
    <w:rsid w:val="005562E1"/>
    <w:rsid w:val="00557345"/>
    <w:rsid w:val="005601FA"/>
    <w:rsid w:val="005611B1"/>
    <w:rsid w:val="0056221B"/>
    <w:rsid w:val="005634FC"/>
    <w:rsid w:val="00563521"/>
    <w:rsid w:val="00564594"/>
    <w:rsid w:val="00564E93"/>
    <w:rsid w:val="00565C38"/>
    <w:rsid w:val="00566757"/>
    <w:rsid w:val="00566938"/>
    <w:rsid w:val="0056717E"/>
    <w:rsid w:val="00567A0F"/>
    <w:rsid w:val="00571106"/>
    <w:rsid w:val="00575F78"/>
    <w:rsid w:val="005764F1"/>
    <w:rsid w:val="005825AC"/>
    <w:rsid w:val="005825CF"/>
    <w:rsid w:val="005838F1"/>
    <w:rsid w:val="00585CED"/>
    <w:rsid w:val="00591DFA"/>
    <w:rsid w:val="00592646"/>
    <w:rsid w:val="00596111"/>
    <w:rsid w:val="005967B1"/>
    <w:rsid w:val="005A1AD9"/>
    <w:rsid w:val="005A7440"/>
    <w:rsid w:val="005B2A2D"/>
    <w:rsid w:val="005B318C"/>
    <w:rsid w:val="005B7E34"/>
    <w:rsid w:val="005C4561"/>
    <w:rsid w:val="005C4D5F"/>
    <w:rsid w:val="005C7863"/>
    <w:rsid w:val="005D031A"/>
    <w:rsid w:val="005D1BC3"/>
    <w:rsid w:val="005E0386"/>
    <w:rsid w:val="005E101B"/>
    <w:rsid w:val="005E1778"/>
    <w:rsid w:val="005E22C4"/>
    <w:rsid w:val="005E26C9"/>
    <w:rsid w:val="005E287C"/>
    <w:rsid w:val="005E5D68"/>
    <w:rsid w:val="005E7B67"/>
    <w:rsid w:val="005F023B"/>
    <w:rsid w:val="005F07D6"/>
    <w:rsid w:val="005F2591"/>
    <w:rsid w:val="005F388A"/>
    <w:rsid w:val="005F4F58"/>
    <w:rsid w:val="005F6793"/>
    <w:rsid w:val="005F7970"/>
    <w:rsid w:val="00602D9D"/>
    <w:rsid w:val="006046D7"/>
    <w:rsid w:val="00607D0B"/>
    <w:rsid w:val="006106DF"/>
    <w:rsid w:val="00613AF5"/>
    <w:rsid w:val="00614F82"/>
    <w:rsid w:val="00622237"/>
    <w:rsid w:val="0062235C"/>
    <w:rsid w:val="00623DC2"/>
    <w:rsid w:val="00624494"/>
    <w:rsid w:val="00626D1C"/>
    <w:rsid w:val="006304C4"/>
    <w:rsid w:val="006305E9"/>
    <w:rsid w:val="006306B0"/>
    <w:rsid w:val="00630DAB"/>
    <w:rsid w:val="006344E9"/>
    <w:rsid w:val="00634923"/>
    <w:rsid w:val="00635E15"/>
    <w:rsid w:val="0064291B"/>
    <w:rsid w:val="006429C2"/>
    <w:rsid w:val="00643595"/>
    <w:rsid w:val="00643630"/>
    <w:rsid w:val="00643FEC"/>
    <w:rsid w:val="0064599C"/>
    <w:rsid w:val="006468A0"/>
    <w:rsid w:val="00646997"/>
    <w:rsid w:val="006470C9"/>
    <w:rsid w:val="00651FC7"/>
    <w:rsid w:val="006525FD"/>
    <w:rsid w:val="0065583F"/>
    <w:rsid w:val="006566EE"/>
    <w:rsid w:val="0065753A"/>
    <w:rsid w:val="00661178"/>
    <w:rsid w:val="00661221"/>
    <w:rsid w:val="00662BAC"/>
    <w:rsid w:val="0066782B"/>
    <w:rsid w:val="006709C2"/>
    <w:rsid w:val="0067126B"/>
    <w:rsid w:val="006750D8"/>
    <w:rsid w:val="0068395E"/>
    <w:rsid w:val="006844F1"/>
    <w:rsid w:val="0068494F"/>
    <w:rsid w:val="00685C87"/>
    <w:rsid w:val="00685F78"/>
    <w:rsid w:val="00686351"/>
    <w:rsid w:val="00686395"/>
    <w:rsid w:val="0069449D"/>
    <w:rsid w:val="0069563D"/>
    <w:rsid w:val="00695BC4"/>
    <w:rsid w:val="006A1159"/>
    <w:rsid w:val="006A173C"/>
    <w:rsid w:val="006A1FAC"/>
    <w:rsid w:val="006A4906"/>
    <w:rsid w:val="006A5ACA"/>
    <w:rsid w:val="006A6318"/>
    <w:rsid w:val="006B0B77"/>
    <w:rsid w:val="006B32B8"/>
    <w:rsid w:val="006B354D"/>
    <w:rsid w:val="006B6E18"/>
    <w:rsid w:val="006C0A14"/>
    <w:rsid w:val="006C3093"/>
    <w:rsid w:val="006C31E3"/>
    <w:rsid w:val="006C3D95"/>
    <w:rsid w:val="006C4D61"/>
    <w:rsid w:val="006C62B4"/>
    <w:rsid w:val="006C6D5E"/>
    <w:rsid w:val="006C7B6B"/>
    <w:rsid w:val="006C7B89"/>
    <w:rsid w:val="006D03EA"/>
    <w:rsid w:val="006D1D3B"/>
    <w:rsid w:val="006D2294"/>
    <w:rsid w:val="006D5052"/>
    <w:rsid w:val="006D7615"/>
    <w:rsid w:val="006D7983"/>
    <w:rsid w:val="006E111F"/>
    <w:rsid w:val="006E299D"/>
    <w:rsid w:val="006E2FC2"/>
    <w:rsid w:val="006E4FBF"/>
    <w:rsid w:val="006E75FE"/>
    <w:rsid w:val="006F0290"/>
    <w:rsid w:val="006F3367"/>
    <w:rsid w:val="006F3A89"/>
    <w:rsid w:val="006F417F"/>
    <w:rsid w:val="006F42E0"/>
    <w:rsid w:val="006F5194"/>
    <w:rsid w:val="006F559C"/>
    <w:rsid w:val="0070141C"/>
    <w:rsid w:val="0070270C"/>
    <w:rsid w:val="00702737"/>
    <w:rsid w:val="00702C9C"/>
    <w:rsid w:val="007043D4"/>
    <w:rsid w:val="00705C0A"/>
    <w:rsid w:val="007076A9"/>
    <w:rsid w:val="007115F0"/>
    <w:rsid w:val="00714DD8"/>
    <w:rsid w:val="00716813"/>
    <w:rsid w:val="00717D5E"/>
    <w:rsid w:val="0072036D"/>
    <w:rsid w:val="00720E92"/>
    <w:rsid w:val="00723448"/>
    <w:rsid w:val="007255DE"/>
    <w:rsid w:val="00725833"/>
    <w:rsid w:val="00725A88"/>
    <w:rsid w:val="00726253"/>
    <w:rsid w:val="007265B9"/>
    <w:rsid w:val="00727DAC"/>
    <w:rsid w:val="00730673"/>
    <w:rsid w:val="00733312"/>
    <w:rsid w:val="007364A2"/>
    <w:rsid w:val="0073659E"/>
    <w:rsid w:val="00740344"/>
    <w:rsid w:val="00741608"/>
    <w:rsid w:val="007474A5"/>
    <w:rsid w:val="007513A4"/>
    <w:rsid w:val="00752AB6"/>
    <w:rsid w:val="00756C17"/>
    <w:rsid w:val="00761ABF"/>
    <w:rsid w:val="007620B5"/>
    <w:rsid w:val="00770853"/>
    <w:rsid w:val="00772CC8"/>
    <w:rsid w:val="00772CCF"/>
    <w:rsid w:val="0077395E"/>
    <w:rsid w:val="00775DCF"/>
    <w:rsid w:val="00775F7E"/>
    <w:rsid w:val="00776A36"/>
    <w:rsid w:val="00781284"/>
    <w:rsid w:val="0078233D"/>
    <w:rsid w:val="0078459F"/>
    <w:rsid w:val="0079080C"/>
    <w:rsid w:val="00793804"/>
    <w:rsid w:val="00794E21"/>
    <w:rsid w:val="0079605E"/>
    <w:rsid w:val="0079761A"/>
    <w:rsid w:val="007A0E66"/>
    <w:rsid w:val="007A389F"/>
    <w:rsid w:val="007A49C1"/>
    <w:rsid w:val="007A591D"/>
    <w:rsid w:val="007A5B37"/>
    <w:rsid w:val="007B0318"/>
    <w:rsid w:val="007B0CC6"/>
    <w:rsid w:val="007B25D6"/>
    <w:rsid w:val="007B5C38"/>
    <w:rsid w:val="007B736E"/>
    <w:rsid w:val="007C1340"/>
    <w:rsid w:val="007C31FB"/>
    <w:rsid w:val="007C450D"/>
    <w:rsid w:val="007C4AF5"/>
    <w:rsid w:val="007C5C09"/>
    <w:rsid w:val="007C70A4"/>
    <w:rsid w:val="007D45DF"/>
    <w:rsid w:val="007D5B7D"/>
    <w:rsid w:val="007D6838"/>
    <w:rsid w:val="007D6865"/>
    <w:rsid w:val="007E2ACC"/>
    <w:rsid w:val="007E3A56"/>
    <w:rsid w:val="007F12EC"/>
    <w:rsid w:val="007F1FDA"/>
    <w:rsid w:val="007F2621"/>
    <w:rsid w:val="007F45EA"/>
    <w:rsid w:val="008000A7"/>
    <w:rsid w:val="008013B4"/>
    <w:rsid w:val="008017AB"/>
    <w:rsid w:val="0080199E"/>
    <w:rsid w:val="008030CC"/>
    <w:rsid w:val="0080526A"/>
    <w:rsid w:val="00806DD8"/>
    <w:rsid w:val="00810C9C"/>
    <w:rsid w:val="0081198B"/>
    <w:rsid w:val="008128B4"/>
    <w:rsid w:val="008133CF"/>
    <w:rsid w:val="008152B6"/>
    <w:rsid w:val="008157D3"/>
    <w:rsid w:val="00820043"/>
    <w:rsid w:val="008223EA"/>
    <w:rsid w:val="0082625F"/>
    <w:rsid w:val="00826C4A"/>
    <w:rsid w:val="00830D0C"/>
    <w:rsid w:val="00832024"/>
    <w:rsid w:val="00832735"/>
    <w:rsid w:val="00832DCD"/>
    <w:rsid w:val="008366BF"/>
    <w:rsid w:val="00837BEC"/>
    <w:rsid w:val="008408FF"/>
    <w:rsid w:val="0084098D"/>
    <w:rsid w:val="0084161F"/>
    <w:rsid w:val="008420B3"/>
    <w:rsid w:val="00843786"/>
    <w:rsid w:val="00846EE4"/>
    <w:rsid w:val="00847EC6"/>
    <w:rsid w:val="0085040D"/>
    <w:rsid w:val="00855034"/>
    <w:rsid w:val="00857F28"/>
    <w:rsid w:val="00857F98"/>
    <w:rsid w:val="00860C54"/>
    <w:rsid w:val="00863D95"/>
    <w:rsid w:val="008642BB"/>
    <w:rsid w:val="00870D06"/>
    <w:rsid w:val="00871181"/>
    <w:rsid w:val="008724DC"/>
    <w:rsid w:val="0087290B"/>
    <w:rsid w:val="00880043"/>
    <w:rsid w:val="008805DC"/>
    <w:rsid w:val="00880EFD"/>
    <w:rsid w:val="008812B5"/>
    <w:rsid w:val="00885B04"/>
    <w:rsid w:val="00886754"/>
    <w:rsid w:val="00886EE5"/>
    <w:rsid w:val="008872B7"/>
    <w:rsid w:val="00893EBE"/>
    <w:rsid w:val="00893EDA"/>
    <w:rsid w:val="00894EC7"/>
    <w:rsid w:val="00895947"/>
    <w:rsid w:val="008970B1"/>
    <w:rsid w:val="008A19FF"/>
    <w:rsid w:val="008A2B8B"/>
    <w:rsid w:val="008A3A13"/>
    <w:rsid w:val="008A4685"/>
    <w:rsid w:val="008A608C"/>
    <w:rsid w:val="008B0216"/>
    <w:rsid w:val="008B041C"/>
    <w:rsid w:val="008B069F"/>
    <w:rsid w:val="008B272D"/>
    <w:rsid w:val="008B3E39"/>
    <w:rsid w:val="008B3FC3"/>
    <w:rsid w:val="008B4434"/>
    <w:rsid w:val="008B4E79"/>
    <w:rsid w:val="008B7231"/>
    <w:rsid w:val="008C149C"/>
    <w:rsid w:val="008C1BED"/>
    <w:rsid w:val="008C2419"/>
    <w:rsid w:val="008C3694"/>
    <w:rsid w:val="008C3CFD"/>
    <w:rsid w:val="008C46AA"/>
    <w:rsid w:val="008C542D"/>
    <w:rsid w:val="008C544B"/>
    <w:rsid w:val="008C5997"/>
    <w:rsid w:val="008C5F43"/>
    <w:rsid w:val="008C6D9E"/>
    <w:rsid w:val="008C727D"/>
    <w:rsid w:val="008C7A51"/>
    <w:rsid w:val="008D0227"/>
    <w:rsid w:val="008D6702"/>
    <w:rsid w:val="008D76CC"/>
    <w:rsid w:val="008D7927"/>
    <w:rsid w:val="008E01AA"/>
    <w:rsid w:val="008E5BBF"/>
    <w:rsid w:val="008F03B8"/>
    <w:rsid w:val="008F0B1E"/>
    <w:rsid w:val="008F54C8"/>
    <w:rsid w:val="008F7C03"/>
    <w:rsid w:val="009009D2"/>
    <w:rsid w:val="009024EA"/>
    <w:rsid w:val="00910DE0"/>
    <w:rsid w:val="009134C8"/>
    <w:rsid w:val="00913C7C"/>
    <w:rsid w:val="00914428"/>
    <w:rsid w:val="009162E3"/>
    <w:rsid w:val="00916371"/>
    <w:rsid w:val="0092139B"/>
    <w:rsid w:val="00923685"/>
    <w:rsid w:val="00924BD9"/>
    <w:rsid w:val="00925ACE"/>
    <w:rsid w:val="009302FE"/>
    <w:rsid w:val="00940CDD"/>
    <w:rsid w:val="00942F31"/>
    <w:rsid w:val="00943D64"/>
    <w:rsid w:val="00946EF9"/>
    <w:rsid w:val="0095289E"/>
    <w:rsid w:val="00954A8A"/>
    <w:rsid w:val="009558F3"/>
    <w:rsid w:val="009570F4"/>
    <w:rsid w:val="00957196"/>
    <w:rsid w:val="0096045F"/>
    <w:rsid w:val="00961419"/>
    <w:rsid w:val="00962D72"/>
    <w:rsid w:val="009641CD"/>
    <w:rsid w:val="009646C1"/>
    <w:rsid w:val="009675FF"/>
    <w:rsid w:val="009760E6"/>
    <w:rsid w:val="00976938"/>
    <w:rsid w:val="00980324"/>
    <w:rsid w:val="00980C36"/>
    <w:rsid w:val="00983C07"/>
    <w:rsid w:val="00983D53"/>
    <w:rsid w:val="00990910"/>
    <w:rsid w:val="00991948"/>
    <w:rsid w:val="0099257E"/>
    <w:rsid w:val="009935C7"/>
    <w:rsid w:val="00995CBE"/>
    <w:rsid w:val="009963E9"/>
    <w:rsid w:val="00996F62"/>
    <w:rsid w:val="00997945"/>
    <w:rsid w:val="009A1958"/>
    <w:rsid w:val="009A3FBD"/>
    <w:rsid w:val="009A505B"/>
    <w:rsid w:val="009A680B"/>
    <w:rsid w:val="009A6B81"/>
    <w:rsid w:val="009B0452"/>
    <w:rsid w:val="009C1F79"/>
    <w:rsid w:val="009C29A2"/>
    <w:rsid w:val="009C3855"/>
    <w:rsid w:val="009C4F66"/>
    <w:rsid w:val="009C6235"/>
    <w:rsid w:val="009C74CA"/>
    <w:rsid w:val="009C7868"/>
    <w:rsid w:val="009D1CA1"/>
    <w:rsid w:val="009D3866"/>
    <w:rsid w:val="009E1CB4"/>
    <w:rsid w:val="009E2517"/>
    <w:rsid w:val="009E2673"/>
    <w:rsid w:val="009E5D77"/>
    <w:rsid w:val="009E6014"/>
    <w:rsid w:val="009F0170"/>
    <w:rsid w:val="009F093D"/>
    <w:rsid w:val="009F0ABE"/>
    <w:rsid w:val="009F21D5"/>
    <w:rsid w:val="009F59BF"/>
    <w:rsid w:val="009F6916"/>
    <w:rsid w:val="009F6B22"/>
    <w:rsid w:val="009F7057"/>
    <w:rsid w:val="009F7CF2"/>
    <w:rsid w:val="00A00360"/>
    <w:rsid w:val="00A00E2D"/>
    <w:rsid w:val="00A02679"/>
    <w:rsid w:val="00A038B3"/>
    <w:rsid w:val="00A109CA"/>
    <w:rsid w:val="00A10B20"/>
    <w:rsid w:val="00A1157D"/>
    <w:rsid w:val="00A13D9D"/>
    <w:rsid w:val="00A15252"/>
    <w:rsid w:val="00A15510"/>
    <w:rsid w:val="00A15ED9"/>
    <w:rsid w:val="00A16B7A"/>
    <w:rsid w:val="00A22F10"/>
    <w:rsid w:val="00A249AF"/>
    <w:rsid w:val="00A30032"/>
    <w:rsid w:val="00A30DB5"/>
    <w:rsid w:val="00A3142F"/>
    <w:rsid w:val="00A3150E"/>
    <w:rsid w:val="00A32194"/>
    <w:rsid w:val="00A3369C"/>
    <w:rsid w:val="00A35B05"/>
    <w:rsid w:val="00A35FF4"/>
    <w:rsid w:val="00A37D36"/>
    <w:rsid w:val="00A4332E"/>
    <w:rsid w:val="00A43702"/>
    <w:rsid w:val="00A43AB8"/>
    <w:rsid w:val="00A447F7"/>
    <w:rsid w:val="00A44824"/>
    <w:rsid w:val="00A454CC"/>
    <w:rsid w:val="00A5203D"/>
    <w:rsid w:val="00A5285E"/>
    <w:rsid w:val="00A53276"/>
    <w:rsid w:val="00A53687"/>
    <w:rsid w:val="00A53ED7"/>
    <w:rsid w:val="00A53F62"/>
    <w:rsid w:val="00A540DF"/>
    <w:rsid w:val="00A56DBB"/>
    <w:rsid w:val="00A613D8"/>
    <w:rsid w:val="00A61539"/>
    <w:rsid w:val="00A62377"/>
    <w:rsid w:val="00A62643"/>
    <w:rsid w:val="00A6327E"/>
    <w:rsid w:val="00A64EAF"/>
    <w:rsid w:val="00A65DD1"/>
    <w:rsid w:val="00A6706B"/>
    <w:rsid w:val="00A70BD4"/>
    <w:rsid w:val="00A71C5B"/>
    <w:rsid w:val="00A72202"/>
    <w:rsid w:val="00A746FF"/>
    <w:rsid w:val="00A748B1"/>
    <w:rsid w:val="00A7594A"/>
    <w:rsid w:val="00A82626"/>
    <w:rsid w:val="00A83838"/>
    <w:rsid w:val="00A84047"/>
    <w:rsid w:val="00A859FE"/>
    <w:rsid w:val="00A865D3"/>
    <w:rsid w:val="00A90B9E"/>
    <w:rsid w:val="00A91A1D"/>
    <w:rsid w:val="00A9316A"/>
    <w:rsid w:val="00A9333B"/>
    <w:rsid w:val="00A97978"/>
    <w:rsid w:val="00AA01B1"/>
    <w:rsid w:val="00AA05C7"/>
    <w:rsid w:val="00AA124A"/>
    <w:rsid w:val="00AA21F2"/>
    <w:rsid w:val="00AA336E"/>
    <w:rsid w:val="00AA36DA"/>
    <w:rsid w:val="00AA38D1"/>
    <w:rsid w:val="00AA41EA"/>
    <w:rsid w:val="00AA5294"/>
    <w:rsid w:val="00AA5BFD"/>
    <w:rsid w:val="00AA6443"/>
    <w:rsid w:val="00AA6800"/>
    <w:rsid w:val="00AA6D78"/>
    <w:rsid w:val="00AB037B"/>
    <w:rsid w:val="00AB109F"/>
    <w:rsid w:val="00AB197F"/>
    <w:rsid w:val="00AB746C"/>
    <w:rsid w:val="00AC1CCB"/>
    <w:rsid w:val="00AC598D"/>
    <w:rsid w:val="00AC5E67"/>
    <w:rsid w:val="00AC630F"/>
    <w:rsid w:val="00AC63F6"/>
    <w:rsid w:val="00AC71F6"/>
    <w:rsid w:val="00AD0399"/>
    <w:rsid w:val="00AD19C5"/>
    <w:rsid w:val="00AD2727"/>
    <w:rsid w:val="00AD2902"/>
    <w:rsid w:val="00AE179D"/>
    <w:rsid w:val="00AE26DB"/>
    <w:rsid w:val="00AE5D7D"/>
    <w:rsid w:val="00AE68E2"/>
    <w:rsid w:val="00AE6CEF"/>
    <w:rsid w:val="00AF0E8D"/>
    <w:rsid w:val="00AF21EC"/>
    <w:rsid w:val="00AF3772"/>
    <w:rsid w:val="00AF3832"/>
    <w:rsid w:val="00AF4B7E"/>
    <w:rsid w:val="00AF5AD9"/>
    <w:rsid w:val="00AF79EF"/>
    <w:rsid w:val="00AF7BE0"/>
    <w:rsid w:val="00AF7E9A"/>
    <w:rsid w:val="00B00F09"/>
    <w:rsid w:val="00B03997"/>
    <w:rsid w:val="00B04E58"/>
    <w:rsid w:val="00B06D26"/>
    <w:rsid w:val="00B075F2"/>
    <w:rsid w:val="00B124C8"/>
    <w:rsid w:val="00B1423C"/>
    <w:rsid w:val="00B15C48"/>
    <w:rsid w:val="00B1624D"/>
    <w:rsid w:val="00B171D4"/>
    <w:rsid w:val="00B20E06"/>
    <w:rsid w:val="00B21421"/>
    <w:rsid w:val="00B25230"/>
    <w:rsid w:val="00B259E2"/>
    <w:rsid w:val="00B37338"/>
    <w:rsid w:val="00B37B73"/>
    <w:rsid w:val="00B44FBA"/>
    <w:rsid w:val="00B45B9D"/>
    <w:rsid w:val="00B46B74"/>
    <w:rsid w:val="00B4713C"/>
    <w:rsid w:val="00B47FFC"/>
    <w:rsid w:val="00B52C2F"/>
    <w:rsid w:val="00B5410F"/>
    <w:rsid w:val="00B54A64"/>
    <w:rsid w:val="00B565B1"/>
    <w:rsid w:val="00B56B36"/>
    <w:rsid w:val="00B61711"/>
    <w:rsid w:val="00B66D81"/>
    <w:rsid w:val="00B67A41"/>
    <w:rsid w:val="00B7492E"/>
    <w:rsid w:val="00B74DEF"/>
    <w:rsid w:val="00B74EE1"/>
    <w:rsid w:val="00B76521"/>
    <w:rsid w:val="00B76C8B"/>
    <w:rsid w:val="00B866D8"/>
    <w:rsid w:val="00B87091"/>
    <w:rsid w:val="00B877C1"/>
    <w:rsid w:val="00B948AA"/>
    <w:rsid w:val="00B96053"/>
    <w:rsid w:val="00B977BD"/>
    <w:rsid w:val="00BA2990"/>
    <w:rsid w:val="00BA375E"/>
    <w:rsid w:val="00BA3F1D"/>
    <w:rsid w:val="00BA533A"/>
    <w:rsid w:val="00BA681B"/>
    <w:rsid w:val="00BA6C46"/>
    <w:rsid w:val="00BA6C66"/>
    <w:rsid w:val="00BA718E"/>
    <w:rsid w:val="00BA7506"/>
    <w:rsid w:val="00BB08E5"/>
    <w:rsid w:val="00BB0EF5"/>
    <w:rsid w:val="00BB1938"/>
    <w:rsid w:val="00BB383A"/>
    <w:rsid w:val="00BB39E0"/>
    <w:rsid w:val="00BC61CE"/>
    <w:rsid w:val="00BC63B4"/>
    <w:rsid w:val="00BC7289"/>
    <w:rsid w:val="00BC7FD8"/>
    <w:rsid w:val="00BD29D1"/>
    <w:rsid w:val="00BD5E6E"/>
    <w:rsid w:val="00BE0B4F"/>
    <w:rsid w:val="00BE3380"/>
    <w:rsid w:val="00BE5DAC"/>
    <w:rsid w:val="00BE6B47"/>
    <w:rsid w:val="00BE7F89"/>
    <w:rsid w:val="00BF1220"/>
    <w:rsid w:val="00BF26C5"/>
    <w:rsid w:val="00BF3775"/>
    <w:rsid w:val="00BF4AF9"/>
    <w:rsid w:val="00BF5B05"/>
    <w:rsid w:val="00C006AD"/>
    <w:rsid w:val="00C0391A"/>
    <w:rsid w:val="00C03A27"/>
    <w:rsid w:val="00C06EB1"/>
    <w:rsid w:val="00C07DD2"/>
    <w:rsid w:val="00C11777"/>
    <w:rsid w:val="00C134FC"/>
    <w:rsid w:val="00C20298"/>
    <w:rsid w:val="00C20D92"/>
    <w:rsid w:val="00C21AFF"/>
    <w:rsid w:val="00C23490"/>
    <w:rsid w:val="00C27BB1"/>
    <w:rsid w:val="00C27C2C"/>
    <w:rsid w:val="00C304B2"/>
    <w:rsid w:val="00C330D2"/>
    <w:rsid w:val="00C35353"/>
    <w:rsid w:val="00C357D2"/>
    <w:rsid w:val="00C40CF7"/>
    <w:rsid w:val="00C41333"/>
    <w:rsid w:val="00C41B22"/>
    <w:rsid w:val="00C41E5B"/>
    <w:rsid w:val="00C431DA"/>
    <w:rsid w:val="00C43D1D"/>
    <w:rsid w:val="00C47876"/>
    <w:rsid w:val="00C53332"/>
    <w:rsid w:val="00C551BF"/>
    <w:rsid w:val="00C5598B"/>
    <w:rsid w:val="00C55E9D"/>
    <w:rsid w:val="00C55FB3"/>
    <w:rsid w:val="00C60F86"/>
    <w:rsid w:val="00C62EA4"/>
    <w:rsid w:val="00C636D4"/>
    <w:rsid w:val="00C642DB"/>
    <w:rsid w:val="00C655EA"/>
    <w:rsid w:val="00C65630"/>
    <w:rsid w:val="00C65C37"/>
    <w:rsid w:val="00C67AC7"/>
    <w:rsid w:val="00C70014"/>
    <w:rsid w:val="00C7024C"/>
    <w:rsid w:val="00C71C14"/>
    <w:rsid w:val="00C73B4A"/>
    <w:rsid w:val="00C73FDC"/>
    <w:rsid w:val="00C7571E"/>
    <w:rsid w:val="00C80AB8"/>
    <w:rsid w:val="00C80D81"/>
    <w:rsid w:val="00C80FC1"/>
    <w:rsid w:val="00C87537"/>
    <w:rsid w:val="00C87F67"/>
    <w:rsid w:val="00C90671"/>
    <w:rsid w:val="00C91537"/>
    <w:rsid w:val="00C918EE"/>
    <w:rsid w:val="00C92187"/>
    <w:rsid w:val="00C9483D"/>
    <w:rsid w:val="00C95CD5"/>
    <w:rsid w:val="00CA45B2"/>
    <w:rsid w:val="00CA70FA"/>
    <w:rsid w:val="00CB0ED5"/>
    <w:rsid w:val="00CB1D97"/>
    <w:rsid w:val="00CB660B"/>
    <w:rsid w:val="00CB7260"/>
    <w:rsid w:val="00CB798B"/>
    <w:rsid w:val="00CC0019"/>
    <w:rsid w:val="00CC4696"/>
    <w:rsid w:val="00CC4FCB"/>
    <w:rsid w:val="00CC6C28"/>
    <w:rsid w:val="00CC7649"/>
    <w:rsid w:val="00CD29BB"/>
    <w:rsid w:val="00CD61E9"/>
    <w:rsid w:val="00CD7E42"/>
    <w:rsid w:val="00CE05A5"/>
    <w:rsid w:val="00CE0EF5"/>
    <w:rsid w:val="00CE12D1"/>
    <w:rsid w:val="00CE20DB"/>
    <w:rsid w:val="00CE614E"/>
    <w:rsid w:val="00CE62BA"/>
    <w:rsid w:val="00CE7527"/>
    <w:rsid w:val="00CF337F"/>
    <w:rsid w:val="00CF542C"/>
    <w:rsid w:val="00CF5C74"/>
    <w:rsid w:val="00CF7533"/>
    <w:rsid w:val="00D00CAA"/>
    <w:rsid w:val="00D014E0"/>
    <w:rsid w:val="00D01DB9"/>
    <w:rsid w:val="00D01E9B"/>
    <w:rsid w:val="00D04A46"/>
    <w:rsid w:val="00D0777E"/>
    <w:rsid w:val="00D07E3A"/>
    <w:rsid w:val="00D11607"/>
    <w:rsid w:val="00D13907"/>
    <w:rsid w:val="00D152E4"/>
    <w:rsid w:val="00D1786E"/>
    <w:rsid w:val="00D2028B"/>
    <w:rsid w:val="00D20A18"/>
    <w:rsid w:val="00D2245B"/>
    <w:rsid w:val="00D241D1"/>
    <w:rsid w:val="00D2788E"/>
    <w:rsid w:val="00D3003F"/>
    <w:rsid w:val="00D3049F"/>
    <w:rsid w:val="00D30A13"/>
    <w:rsid w:val="00D329AA"/>
    <w:rsid w:val="00D339C5"/>
    <w:rsid w:val="00D33BE0"/>
    <w:rsid w:val="00D3490E"/>
    <w:rsid w:val="00D35AD0"/>
    <w:rsid w:val="00D36DC1"/>
    <w:rsid w:val="00D37CE8"/>
    <w:rsid w:val="00D41054"/>
    <w:rsid w:val="00D410D7"/>
    <w:rsid w:val="00D41F2B"/>
    <w:rsid w:val="00D43628"/>
    <w:rsid w:val="00D4487C"/>
    <w:rsid w:val="00D4739A"/>
    <w:rsid w:val="00D475EA"/>
    <w:rsid w:val="00D50477"/>
    <w:rsid w:val="00D53A67"/>
    <w:rsid w:val="00D53EDE"/>
    <w:rsid w:val="00D5415B"/>
    <w:rsid w:val="00D54E68"/>
    <w:rsid w:val="00D556D2"/>
    <w:rsid w:val="00D564A3"/>
    <w:rsid w:val="00D576D4"/>
    <w:rsid w:val="00D61E53"/>
    <w:rsid w:val="00D64818"/>
    <w:rsid w:val="00D64871"/>
    <w:rsid w:val="00D665C5"/>
    <w:rsid w:val="00D66980"/>
    <w:rsid w:val="00D72AEE"/>
    <w:rsid w:val="00D73F85"/>
    <w:rsid w:val="00D74886"/>
    <w:rsid w:val="00D76381"/>
    <w:rsid w:val="00D767B6"/>
    <w:rsid w:val="00D80F4B"/>
    <w:rsid w:val="00D816DF"/>
    <w:rsid w:val="00D81A40"/>
    <w:rsid w:val="00D82B41"/>
    <w:rsid w:val="00D8408A"/>
    <w:rsid w:val="00D85D7D"/>
    <w:rsid w:val="00D868D2"/>
    <w:rsid w:val="00D92A65"/>
    <w:rsid w:val="00DA055B"/>
    <w:rsid w:val="00DA09D9"/>
    <w:rsid w:val="00DA1E46"/>
    <w:rsid w:val="00DA2C00"/>
    <w:rsid w:val="00DA369E"/>
    <w:rsid w:val="00DA6C13"/>
    <w:rsid w:val="00DA7337"/>
    <w:rsid w:val="00DA7438"/>
    <w:rsid w:val="00DA7F38"/>
    <w:rsid w:val="00DB08A3"/>
    <w:rsid w:val="00DB1195"/>
    <w:rsid w:val="00DB1ABB"/>
    <w:rsid w:val="00DB4335"/>
    <w:rsid w:val="00DB4524"/>
    <w:rsid w:val="00DB48B6"/>
    <w:rsid w:val="00DB52D1"/>
    <w:rsid w:val="00DC0BBD"/>
    <w:rsid w:val="00DC4357"/>
    <w:rsid w:val="00DC4F12"/>
    <w:rsid w:val="00DC56C4"/>
    <w:rsid w:val="00DC69E1"/>
    <w:rsid w:val="00DD0359"/>
    <w:rsid w:val="00DD157F"/>
    <w:rsid w:val="00DD1846"/>
    <w:rsid w:val="00DD25CF"/>
    <w:rsid w:val="00DD2A39"/>
    <w:rsid w:val="00DD5568"/>
    <w:rsid w:val="00DD631E"/>
    <w:rsid w:val="00DE0DF1"/>
    <w:rsid w:val="00DE16D6"/>
    <w:rsid w:val="00DE1830"/>
    <w:rsid w:val="00DE4A84"/>
    <w:rsid w:val="00DE5B7A"/>
    <w:rsid w:val="00DE5D0F"/>
    <w:rsid w:val="00DF091B"/>
    <w:rsid w:val="00DF1568"/>
    <w:rsid w:val="00DF238F"/>
    <w:rsid w:val="00DF260A"/>
    <w:rsid w:val="00DF4AB8"/>
    <w:rsid w:val="00DF53B8"/>
    <w:rsid w:val="00DF653A"/>
    <w:rsid w:val="00E019AE"/>
    <w:rsid w:val="00E01CFE"/>
    <w:rsid w:val="00E020E5"/>
    <w:rsid w:val="00E02445"/>
    <w:rsid w:val="00E05411"/>
    <w:rsid w:val="00E05E20"/>
    <w:rsid w:val="00E068AA"/>
    <w:rsid w:val="00E07281"/>
    <w:rsid w:val="00E0746C"/>
    <w:rsid w:val="00E1008E"/>
    <w:rsid w:val="00E10BBF"/>
    <w:rsid w:val="00E11968"/>
    <w:rsid w:val="00E16AAC"/>
    <w:rsid w:val="00E16CE5"/>
    <w:rsid w:val="00E20529"/>
    <w:rsid w:val="00E20F8C"/>
    <w:rsid w:val="00E21CAC"/>
    <w:rsid w:val="00E23B6B"/>
    <w:rsid w:val="00E23CD0"/>
    <w:rsid w:val="00E24A39"/>
    <w:rsid w:val="00E267BC"/>
    <w:rsid w:val="00E30A68"/>
    <w:rsid w:val="00E330E4"/>
    <w:rsid w:val="00E343B8"/>
    <w:rsid w:val="00E35007"/>
    <w:rsid w:val="00E3527E"/>
    <w:rsid w:val="00E37098"/>
    <w:rsid w:val="00E372F2"/>
    <w:rsid w:val="00E37BED"/>
    <w:rsid w:val="00E4030A"/>
    <w:rsid w:val="00E41832"/>
    <w:rsid w:val="00E45117"/>
    <w:rsid w:val="00E457FD"/>
    <w:rsid w:val="00E465F5"/>
    <w:rsid w:val="00E46817"/>
    <w:rsid w:val="00E5149C"/>
    <w:rsid w:val="00E52B6F"/>
    <w:rsid w:val="00E52CAE"/>
    <w:rsid w:val="00E54E6F"/>
    <w:rsid w:val="00E61A0A"/>
    <w:rsid w:val="00E61A84"/>
    <w:rsid w:val="00E61D24"/>
    <w:rsid w:val="00E62DDE"/>
    <w:rsid w:val="00E65BE6"/>
    <w:rsid w:val="00E672CE"/>
    <w:rsid w:val="00E70B80"/>
    <w:rsid w:val="00E710F1"/>
    <w:rsid w:val="00E71D0B"/>
    <w:rsid w:val="00E7569B"/>
    <w:rsid w:val="00E774C2"/>
    <w:rsid w:val="00E83891"/>
    <w:rsid w:val="00E85639"/>
    <w:rsid w:val="00E85A77"/>
    <w:rsid w:val="00E9091D"/>
    <w:rsid w:val="00E90D8E"/>
    <w:rsid w:val="00E91AB0"/>
    <w:rsid w:val="00E92222"/>
    <w:rsid w:val="00E94354"/>
    <w:rsid w:val="00E946BC"/>
    <w:rsid w:val="00E95554"/>
    <w:rsid w:val="00E96CE5"/>
    <w:rsid w:val="00EA14A8"/>
    <w:rsid w:val="00EA24FF"/>
    <w:rsid w:val="00EA3186"/>
    <w:rsid w:val="00EA3D77"/>
    <w:rsid w:val="00EA6443"/>
    <w:rsid w:val="00EB2049"/>
    <w:rsid w:val="00EB2B05"/>
    <w:rsid w:val="00EB3882"/>
    <w:rsid w:val="00EB64E4"/>
    <w:rsid w:val="00EB6D26"/>
    <w:rsid w:val="00EC2200"/>
    <w:rsid w:val="00EC508A"/>
    <w:rsid w:val="00EC6096"/>
    <w:rsid w:val="00EC62C1"/>
    <w:rsid w:val="00EC69CA"/>
    <w:rsid w:val="00EC70B1"/>
    <w:rsid w:val="00EC715D"/>
    <w:rsid w:val="00ED09BE"/>
    <w:rsid w:val="00ED2E81"/>
    <w:rsid w:val="00ED400A"/>
    <w:rsid w:val="00ED5162"/>
    <w:rsid w:val="00ED5468"/>
    <w:rsid w:val="00ED54FA"/>
    <w:rsid w:val="00ED6AD5"/>
    <w:rsid w:val="00ED73ED"/>
    <w:rsid w:val="00ED7BF4"/>
    <w:rsid w:val="00ED7DBD"/>
    <w:rsid w:val="00EE1D1F"/>
    <w:rsid w:val="00EE228D"/>
    <w:rsid w:val="00EE36A8"/>
    <w:rsid w:val="00EF0936"/>
    <w:rsid w:val="00EF1CF0"/>
    <w:rsid w:val="00EF7E9A"/>
    <w:rsid w:val="00F00428"/>
    <w:rsid w:val="00F00C95"/>
    <w:rsid w:val="00F030A5"/>
    <w:rsid w:val="00F03278"/>
    <w:rsid w:val="00F0715C"/>
    <w:rsid w:val="00F07D01"/>
    <w:rsid w:val="00F13964"/>
    <w:rsid w:val="00F14378"/>
    <w:rsid w:val="00F1454B"/>
    <w:rsid w:val="00F17733"/>
    <w:rsid w:val="00F177AA"/>
    <w:rsid w:val="00F235ED"/>
    <w:rsid w:val="00F23C1F"/>
    <w:rsid w:val="00F25955"/>
    <w:rsid w:val="00F31075"/>
    <w:rsid w:val="00F32C31"/>
    <w:rsid w:val="00F34A9A"/>
    <w:rsid w:val="00F36BC7"/>
    <w:rsid w:val="00F41958"/>
    <w:rsid w:val="00F419B3"/>
    <w:rsid w:val="00F43F91"/>
    <w:rsid w:val="00F465F6"/>
    <w:rsid w:val="00F467BA"/>
    <w:rsid w:val="00F46B21"/>
    <w:rsid w:val="00F47848"/>
    <w:rsid w:val="00F503B4"/>
    <w:rsid w:val="00F515F4"/>
    <w:rsid w:val="00F52023"/>
    <w:rsid w:val="00F52280"/>
    <w:rsid w:val="00F52FD2"/>
    <w:rsid w:val="00F540C5"/>
    <w:rsid w:val="00F62B44"/>
    <w:rsid w:val="00F62E17"/>
    <w:rsid w:val="00F63AF3"/>
    <w:rsid w:val="00F67B27"/>
    <w:rsid w:val="00F71C8E"/>
    <w:rsid w:val="00F7720D"/>
    <w:rsid w:val="00F77D83"/>
    <w:rsid w:val="00F810C2"/>
    <w:rsid w:val="00F815FA"/>
    <w:rsid w:val="00F8162A"/>
    <w:rsid w:val="00F82859"/>
    <w:rsid w:val="00F86803"/>
    <w:rsid w:val="00F86F00"/>
    <w:rsid w:val="00F91096"/>
    <w:rsid w:val="00F927F2"/>
    <w:rsid w:val="00F92AC1"/>
    <w:rsid w:val="00F92EBC"/>
    <w:rsid w:val="00F956D3"/>
    <w:rsid w:val="00F96881"/>
    <w:rsid w:val="00FA0100"/>
    <w:rsid w:val="00FA1350"/>
    <w:rsid w:val="00FA1D38"/>
    <w:rsid w:val="00FA1E46"/>
    <w:rsid w:val="00FA27F7"/>
    <w:rsid w:val="00FA35F7"/>
    <w:rsid w:val="00FB0AD6"/>
    <w:rsid w:val="00FB140C"/>
    <w:rsid w:val="00FB2983"/>
    <w:rsid w:val="00FB31D8"/>
    <w:rsid w:val="00FB451F"/>
    <w:rsid w:val="00FB532A"/>
    <w:rsid w:val="00FB712F"/>
    <w:rsid w:val="00FB72FF"/>
    <w:rsid w:val="00FC0517"/>
    <w:rsid w:val="00FC4FAE"/>
    <w:rsid w:val="00FC6A61"/>
    <w:rsid w:val="00FD3DDA"/>
    <w:rsid w:val="00FD4140"/>
    <w:rsid w:val="00FD61DA"/>
    <w:rsid w:val="00FE25A1"/>
    <w:rsid w:val="00FE2D2A"/>
    <w:rsid w:val="00FE412E"/>
    <w:rsid w:val="00FE42C0"/>
    <w:rsid w:val="00FE6DF6"/>
    <w:rsid w:val="00FE7344"/>
    <w:rsid w:val="00FF27C7"/>
    <w:rsid w:val="00FF54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D87"/>
    <w:pPr>
      <w:suppressAutoHyphens/>
      <w:spacing w:line="240" w:lineRule="atLeast"/>
    </w:pPr>
    <w:rPr>
      <w:lang w:eastAsia="en-US"/>
    </w:rPr>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5"/>
      </w:numPr>
    </w:pPr>
  </w:style>
  <w:style w:type="paragraph" w:customStyle="1" w:styleId="SingleTxtG">
    <w:name w:val="_ Single Txt_G"/>
    <w:basedOn w:val="Normal"/>
    <w:link w:val="SingleTxtGChar"/>
    <w:qFormat/>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
    <w:qFormat/>
    <w:rsid w:val="00FF5408"/>
    <w:rPr>
      <w:rFonts w:ascii="Times New Roman" w:hAnsi="Times New Roman"/>
      <w:sz w:val="18"/>
      <w:vertAlign w:val="superscript"/>
    </w:rPr>
  </w:style>
  <w:style w:type="paragraph" w:styleId="EndnoteText">
    <w:name w:val="endnote text"/>
    <w:aliases w:val="2_G"/>
    <w:basedOn w:val="FootnoteText"/>
  </w:style>
  <w:style w:type="paragraph" w:styleId="FootnoteText">
    <w:name w:val="footnote text"/>
    <w:aliases w:val="5_G"/>
    <w:basedOn w:val="Normal"/>
    <w:link w:val="FootnoteTextChar"/>
    <w:qFormat/>
    <w:rsid w:val="00FF540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Footer">
    <w:name w:val="footer"/>
    <w:aliases w:val="3_G"/>
    <w:basedOn w:val="Normal"/>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pPr>
      <w:pBdr>
        <w:bottom w:val="single" w:sz="4" w:space="4" w:color="auto"/>
      </w:pBdr>
      <w:spacing w:line="240" w:lineRule="auto"/>
    </w:pPr>
    <w:rPr>
      <w:b/>
      <w:sz w:val="18"/>
    </w:rPr>
  </w:style>
  <w:style w:type="character" w:styleId="PageNumber">
    <w:name w:val="page number"/>
    <w:aliases w:val="7_G"/>
    <w:rPr>
      <w:rFonts w:ascii="Times New Roman" w:hAnsi="Times New Roman"/>
      <w:b/>
      <w:sz w:val="18"/>
    </w:rPr>
  </w:style>
  <w:style w:type="paragraph" w:customStyle="1" w:styleId="TocP">
    <w:name w:val="TocP"/>
    <w:basedOn w:val="Normal"/>
    <w:rsid w:val="00215F2E"/>
    <w:pPr>
      <w:tabs>
        <w:tab w:val="right" w:pos="850"/>
        <w:tab w:val="left" w:pos="1134"/>
        <w:tab w:val="left" w:pos="1559"/>
        <w:tab w:val="left" w:pos="1984"/>
        <w:tab w:val="right" w:leader="dot" w:pos="8789"/>
        <w:tab w:val="right" w:pos="9639"/>
      </w:tabs>
      <w:spacing w:after="120"/>
    </w:p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table" w:styleId="TableGrid">
    <w:name w:val="Table Grid"/>
    <w:basedOn w:val="TableNormal"/>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TocCpp">
    <w:name w:val="TocCpp"/>
    <w:basedOn w:val="Normal"/>
    <w:rsid w:val="00215F2E"/>
    <w:pPr>
      <w:tabs>
        <w:tab w:val="right" w:pos="850"/>
        <w:tab w:val="left" w:pos="1134"/>
        <w:tab w:val="left" w:pos="1559"/>
        <w:tab w:val="left" w:pos="1984"/>
        <w:tab w:val="left" w:leader="dot" w:pos="7654"/>
        <w:tab w:val="right" w:pos="8929"/>
        <w:tab w:val="right" w:pos="9638"/>
      </w:tabs>
      <w:spacing w:after="120"/>
    </w:pPr>
  </w:style>
  <w:style w:type="paragraph" w:styleId="BalloonText">
    <w:name w:val="Balloon Text"/>
    <w:basedOn w:val="Normal"/>
    <w:link w:val="BalloonTextChar"/>
    <w:rsid w:val="00B124C8"/>
    <w:pPr>
      <w:spacing w:line="240" w:lineRule="auto"/>
    </w:pPr>
    <w:rPr>
      <w:rFonts w:ascii="Tahoma" w:hAnsi="Tahoma" w:cs="Tahoma"/>
      <w:sz w:val="16"/>
      <w:szCs w:val="16"/>
    </w:rPr>
  </w:style>
  <w:style w:type="character" w:customStyle="1" w:styleId="BalloonTextChar">
    <w:name w:val="Balloon Text Char"/>
    <w:link w:val="BalloonText"/>
    <w:rsid w:val="00B124C8"/>
    <w:rPr>
      <w:rFonts w:ascii="Tahoma" w:hAnsi="Tahoma" w:cs="Tahoma"/>
      <w:sz w:val="16"/>
      <w:szCs w:val="16"/>
      <w:lang w:eastAsia="en-US"/>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character" w:styleId="CommentReference">
    <w:name w:val="annotation reference"/>
    <w:rsid w:val="00702737"/>
    <w:rPr>
      <w:sz w:val="16"/>
      <w:szCs w:val="16"/>
    </w:rPr>
  </w:style>
  <w:style w:type="paragraph" w:styleId="CommentText">
    <w:name w:val="annotation text"/>
    <w:basedOn w:val="Normal"/>
    <w:link w:val="CommentTextChar"/>
    <w:rsid w:val="00702737"/>
  </w:style>
  <w:style w:type="character" w:customStyle="1" w:styleId="CommentTextChar">
    <w:name w:val="Comment Text Char"/>
    <w:link w:val="CommentText"/>
    <w:rsid w:val="00702737"/>
    <w:rPr>
      <w:lang w:eastAsia="en-US"/>
    </w:rPr>
  </w:style>
  <w:style w:type="paragraph" w:styleId="CommentSubject">
    <w:name w:val="annotation subject"/>
    <w:basedOn w:val="CommentText"/>
    <w:next w:val="CommentText"/>
    <w:link w:val="CommentSubjectChar"/>
    <w:rsid w:val="00702737"/>
    <w:rPr>
      <w:b/>
      <w:bCs/>
    </w:rPr>
  </w:style>
  <w:style w:type="character" w:customStyle="1" w:styleId="CommentSubjectChar">
    <w:name w:val="Comment Subject Char"/>
    <w:link w:val="CommentSubject"/>
    <w:rsid w:val="00702737"/>
    <w:rPr>
      <w:b/>
      <w:bCs/>
      <w:lang w:eastAsia="en-US"/>
    </w:rPr>
  </w:style>
  <w:style w:type="character" w:customStyle="1" w:styleId="SingleTxtGChar">
    <w:name w:val="_ Single Txt_G Char"/>
    <w:link w:val="SingleTxtG"/>
    <w:rsid w:val="000A10B9"/>
    <w:rPr>
      <w:lang w:eastAsia="en-US"/>
    </w:rPr>
  </w:style>
  <w:style w:type="character" w:styleId="Hyperlink">
    <w:name w:val="Hyperlink"/>
    <w:rsid w:val="00F86F00"/>
    <w:rPr>
      <w:color w:val="0000FF"/>
      <w:u w:val="single"/>
    </w:rPr>
  </w:style>
  <w:style w:type="character" w:customStyle="1" w:styleId="FootnoteTextChar">
    <w:name w:val="Footnote Text Char"/>
    <w:aliases w:val="5_G Char"/>
    <w:link w:val="FootnoteText"/>
    <w:rsid w:val="00FA1E46"/>
    <w:rPr>
      <w:rFonts w:eastAsia="SimSun"/>
      <w:sz w:val="18"/>
      <w:lang w:val="en-US" w:eastAsia="zh-CN"/>
    </w:rPr>
  </w:style>
  <w:style w:type="paragraph" w:styleId="Revision">
    <w:name w:val="Revision"/>
    <w:hidden/>
    <w:uiPriority w:val="99"/>
    <w:semiHidden/>
    <w:rsid w:val="00FE6DF6"/>
    <w:rPr>
      <w:lang w:eastAsia="en-US"/>
    </w:rPr>
  </w:style>
  <w:style w:type="paragraph" w:styleId="BodyText">
    <w:name w:val="Body Text"/>
    <w:basedOn w:val="Normal"/>
    <w:link w:val="BodyTextChar"/>
    <w:uiPriority w:val="99"/>
    <w:qFormat/>
    <w:rsid w:val="006046D7"/>
    <w:pPr>
      <w:suppressAutoHyphens w:val="0"/>
      <w:spacing w:after="120" w:line="240" w:lineRule="auto"/>
    </w:pPr>
    <w:rPr>
      <w:color w:val="000000"/>
      <w:sz w:val="24"/>
      <w:szCs w:val="24"/>
    </w:rPr>
  </w:style>
  <w:style w:type="character" w:styleId="Emphasis">
    <w:name w:val="Emphasis"/>
    <w:qFormat/>
    <w:rPr>
      <w:i/>
      <w:iCs/>
    </w:rPr>
  </w:style>
  <w:style w:type="paragraph" w:styleId="EnvelopeReturn">
    <w:name w:val="envelope return"/>
    <w:basedOn w:val="Normal"/>
    <w:semiHidden/>
    <w:rPr>
      <w:rFonts w:ascii="Arial" w:hAnsi="Arial" w:cs="Arial"/>
    </w:rPr>
  </w:style>
  <w:style w:type="character" w:customStyle="1" w:styleId="BodyTextChar">
    <w:name w:val="Body Text Char"/>
    <w:link w:val="BodyText"/>
    <w:uiPriority w:val="99"/>
    <w:rsid w:val="006046D7"/>
    <w:rPr>
      <w:color w:val="000000"/>
      <w:sz w:val="24"/>
      <w:szCs w:val="24"/>
      <w:lang w:eastAsia="en-US"/>
    </w:rPr>
  </w:style>
  <w:style w:type="character" w:styleId="HTMLAcronym">
    <w:name w:val="HTML Acronym"/>
    <w:basedOn w:val="DefaultParagraphFont"/>
    <w:semiHidden/>
  </w:style>
  <w:style w:type="paragraph" w:styleId="ListParagraph">
    <w:name w:val="List Paragraph"/>
    <w:basedOn w:val="Normal"/>
    <w:uiPriority w:val="34"/>
    <w:qFormat/>
    <w:rsid w:val="00D20A18"/>
    <w:pPr>
      <w:suppressAutoHyphens w:val="0"/>
      <w:spacing w:line="240" w:lineRule="auto"/>
      <w:ind w:left="720"/>
      <w:contextualSpacing/>
    </w:pPr>
    <w:rPr>
      <w:sz w:val="24"/>
      <w:szCs w:val="24"/>
    </w:rPr>
  </w:style>
  <w:style w:type="character" w:customStyle="1" w:styleId="hps">
    <w:name w:val="hps"/>
    <w:rsid w:val="00D20A18"/>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D87"/>
    <w:pPr>
      <w:suppressAutoHyphens/>
      <w:spacing w:line="240" w:lineRule="atLeast"/>
    </w:pPr>
    <w:rPr>
      <w:lang w:eastAsia="en-US"/>
    </w:rPr>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5"/>
      </w:numPr>
    </w:pPr>
  </w:style>
  <w:style w:type="paragraph" w:customStyle="1" w:styleId="SingleTxtG">
    <w:name w:val="_ Single Txt_G"/>
    <w:basedOn w:val="Normal"/>
    <w:link w:val="SingleTxtGChar"/>
    <w:qFormat/>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
    <w:qFormat/>
    <w:rsid w:val="00FF5408"/>
    <w:rPr>
      <w:rFonts w:ascii="Times New Roman" w:hAnsi="Times New Roman"/>
      <w:sz w:val="18"/>
      <w:vertAlign w:val="superscript"/>
    </w:rPr>
  </w:style>
  <w:style w:type="paragraph" w:styleId="EndnoteText">
    <w:name w:val="endnote text"/>
    <w:aliases w:val="2_G"/>
    <w:basedOn w:val="FootnoteText"/>
  </w:style>
  <w:style w:type="paragraph" w:styleId="FootnoteText">
    <w:name w:val="footnote text"/>
    <w:aliases w:val="5_G"/>
    <w:basedOn w:val="Normal"/>
    <w:link w:val="FootnoteTextChar"/>
    <w:qFormat/>
    <w:rsid w:val="00FF540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Footer">
    <w:name w:val="footer"/>
    <w:aliases w:val="3_G"/>
    <w:basedOn w:val="Normal"/>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pPr>
      <w:pBdr>
        <w:bottom w:val="single" w:sz="4" w:space="4" w:color="auto"/>
      </w:pBdr>
      <w:spacing w:line="240" w:lineRule="auto"/>
    </w:pPr>
    <w:rPr>
      <w:b/>
      <w:sz w:val="18"/>
    </w:rPr>
  </w:style>
  <w:style w:type="character" w:styleId="PageNumber">
    <w:name w:val="page number"/>
    <w:aliases w:val="7_G"/>
    <w:rPr>
      <w:rFonts w:ascii="Times New Roman" w:hAnsi="Times New Roman"/>
      <w:b/>
      <w:sz w:val="18"/>
    </w:rPr>
  </w:style>
  <w:style w:type="paragraph" w:customStyle="1" w:styleId="TocP">
    <w:name w:val="TocP"/>
    <w:basedOn w:val="Normal"/>
    <w:rsid w:val="00215F2E"/>
    <w:pPr>
      <w:tabs>
        <w:tab w:val="right" w:pos="850"/>
        <w:tab w:val="left" w:pos="1134"/>
        <w:tab w:val="left" w:pos="1559"/>
        <w:tab w:val="left" w:pos="1984"/>
        <w:tab w:val="right" w:leader="dot" w:pos="8789"/>
        <w:tab w:val="right" w:pos="9639"/>
      </w:tabs>
      <w:spacing w:after="120"/>
    </w:p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table" w:styleId="TableGrid">
    <w:name w:val="Table Grid"/>
    <w:basedOn w:val="TableNormal"/>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TocCpp">
    <w:name w:val="TocCpp"/>
    <w:basedOn w:val="Normal"/>
    <w:rsid w:val="00215F2E"/>
    <w:pPr>
      <w:tabs>
        <w:tab w:val="right" w:pos="850"/>
        <w:tab w:val="left" w:pos="1134"/>
        <w:tab w:val="left" w:pos="1559"/>
        <w:tab w:val="left" w:pos="1984"/>
        <w:tab w:val="left" w:leader="dot" w:pos="7654"/>
        <w:tab w:val="right" w:pos="8929"/>
        <w:tab w:val="right" w:pos="9638"/>
      </w:tabs>
      <w:spacing w:after="120"/>
    </w:pPr>
  </w:style>
  <w:style w:type="paragraph" w:styleId="BalloonText">
    <w:name w:val="Balloon Text"/>
    <w:basedOn w:val="Normal"/>
    <w:link w:val="BalloonTextChar"/>
    <w:rsid w:val="00B124C8"/>
    <w:pPr>
      <w:spacing w:line="240" w:lineRule="auto"/>
    </w:pPr>
    <w:rPr>
      <w:rFonts w:ascii="Tahoma" w:hAnsi="Tahoma" w:cs="Tahoma"/>
      <w:sz w:val="16"/>
      <w:szCs w:val="16"/>
    </w:rPr>
  </w:style>
  <w:style w:type="character" w:customStyle="1" w:styleId="BalloonTextChar">
    <w:name w:val="Balloon Text Char"/>
    <w:link w:val="BalloonText"/>
    <w:rsid w:val="00B124C8"/>
    <w:rPr>
      <w:rFonts w:ascii="Tahoma" w:hAnsi="Tahoma" w:cs="Tahoma"/>
      <w:sz w:val="16"/>
      <w:szCs w:val="16"/>
      <w:lang w:eastAsia="en-US"/>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character" w:styleId="CommentReference">
    <w:name w:val="annotation reference"/>
    <w:rsid w:val="00702737"/>
    <w:rPr>
      <w:sz w:val="16"/>
      <w:szCs w:val="16"/>
    </w:rPr>
  </w:style>
  <w:style w:type="paragraph" w:styleId="CommentText">
    <w:name w:val="annotation text"/>
    <w:basedOn w:val="Normal"/>
    <w:link w:val="CommentTextChar"/>
    <w:rsid w:val="00702737"/>
  </w:style>
  <w:style w:type="character" w:customStyle="1" w:styleId="CommentTextChar">
    <w:name w:val="Comment Text Char"/>
    <w:link w:val="CommentText"/>
    <w:rsid w:val="00702737"/>
    <w:rPr>
      <w:lang w:eastAsia="en-US"/>
    </w:rPr>
  </w:style>
  <w:style w:type="paragraph" w:styleId="CommentSubject">
    <w:name w:val="annotation subject"/>
    <w:basedOn w:val="CommentText"/>
    <w:next w:val="CommentText"/>
    <w:link w:val="CommentSubjectChar"/>
    <w:rsid w:val="00702737"/>
    <w:rPr>
      <w:b/>
      <w:bCs/>
    </w:rPr>
  </w:style>
  <w:style w:type="character" w:customStyle="1" w:styleId="CommentSubjectChar">
    <w:name w:val="Comment Subject Char"/>
    <w:link w:val="CommentSubject"/>
    <w:rsid w:val="00702737"/>
    <w:rPr>
      <w:b/>
      <w:bCs/>
      <w:lang w:eastAsia="en-US"/>
    </w:rPr>
  </w:style>
  <w:style w:type="character" w:customStyle="1" w:styleId="SingleTxtGChar">
    <w:name w:val="_ Single Txt_G Char"/>
    <w:link w:val="SingleTxtG"/>
    <w:rsid w:val="000A10B9"/>
    <w:rPr>
      <w:lang w:eastAsia="en-US"/>
    </w:rPr>
  </w:style>
  <w:style w:type="character" w:styleId="Hyperlink">
    <w:name w:val="Hyperlink"/>
    <w:rsid w:val="00F86F00"/>
    <w:rPr>
      <w:color w:val="0000FF"/>
      <w:u w:val="single"/>
    </w:rPr>
  </w:style>
  <w:style w:type="character" w:customStyle="1" w:styleId="FootnoteTextChar">
    <w:name w:val="Footnote Text Char"/>
    <w:aliases w:val="5_G Char"/>
    <w:link w:val="FootnoteText"/>
    <w:rsid w:val="00FA1E46"/>
    <w:rPr>
      <w:rFonts w:eastAsia="SimSun"/>
      <w:sz w:val="18"/>
      <w:lang w:val="en-US" w:eastAsia="zh-CN"/>
    </w:rPr>
  </w:style>
  <w:style w:type="paragraph" w:styleId="Revision">
    <w:name w:val="Revision"/>
    <w:hidden/>
    <w:uiPriority w:val="99"/>
    <w:semiHidden/>
    <w:rsid w:val="00FE6DF6"/>
    <w:rPr>
      <w:lang w:eastAsia="en-US"/>
    </w:rPr>
  </w:style>
  <w:style w:type="paragraph" w:styleId="BodyText">
    <w:name w:val="Body Text"/>
    <w:basedOn w:val="Normal"/>
    <w:link w:val="BodyTextChar"/>
    <w:uiPriority w:val="99"/>
    <w:qFormat/>
    <w:rsid w:val="006046D7"/>
    <w:pPr>
      <w:suppressAutoHyphens w:val="0"/>
      <w:spacing w:after="120" w:line="240" w:lineRule="auto"/>
    </w:pPr>
    <w:rPr>
      <w:color w:val="000000"/>
      <w:sz w:val="24"/>
      <w:szCs w:val="24"/>
    </w:rPr>
  </w:style>
  <w:style w:type="character" w:styleId="Emphasis">
    <w:name w:val="Emphasis"/>
    <w:qFormat/>
    <w:rPr>
      <w:i/>
      <w:iCs/>
    </w:rPr>
  </w:style>
  <w:style w:type="paragraph" w:styleId="EnvelopeReturn">
    <w:name w:val="envelope return"/>
    <w:basedOn w:val="Normal"/>
    <w:semiHidden/>
    <w:rPr>
      <w:rFonts w:ascii="Arial" w:hAnsi="Arial" w:cs="Arial"/>
    </w:rPr>
  </w:style>
  <w:style w:type="character" w:customStyle="1" w:styleId="BodyTextChar">
    <w:name w:val="Body Text Char"/>
    <w:link w:val="BodyText"/>
    <w:uiPriority w:val="99"/>
    <w:rsid w:val="006046D7"/>
    <w:rPr>
      <w:color w:val="000000"/>
      <w:sz w:val="24"/>
      <w:szCs w:val="24"/>
      <w:lang w:eastAsia="en-US"/>
    </w:rPr>
  </w:style>
  <w:style w:type="character" w:styleId="HTMLAcronym">
    <w:name w:val="HTML Acronym"/>
    <w:basedOn w:val="DefaultParagraphFont"/>
    <w:semiHidden/>
  </w:style>
  <w:style w:type="paragraph" w:styleId="ListParagraph">
    <w:name w:val="List Paragraph"/>
    <w:basedOn w:val="Normal"/>
    <w:uiPriority w:val="34"/>
    <w:qFormat/>
    <w:rsid w:val="00D20A18"/>
    <w:pPr>
      <w:suppressAutoHyphens w:val="0"/>
      <w:spacing w:line="240" w:lineRule="auto"/>
      <w:ind w:left="720"/>
      <w:contextualSpacing/>
    </w:pPr>
    <w:rPr>
      <w:sz w:val="24"/>
      <w:szCs w:val="24"/>
    </w:rPr>
  </w:style>
  <w:style w:type="character" w:customStyle="1" w:styleId="hps">
    <w:name w:val="hps"/>
    <w:rsid w:val="00D20A18"/>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9956">
      <w:bodyDiv w:val="1"/>
      <w:marLeft w:val="0"/>
      <w:marRight w:val="0"/>
      <w:marTop w:val="0"/>
      <w:marBottom w:val="0"/>
      <w:divBdr>
        <w:top w:val="none" w:sz="0" w:space="0" w:color="auto"/>
        <w:left w:val="none" w:sz="0" w:space="0" w:color="auto"/>
        <w:bottom w:val="none" w:sz="0" w:space="0" w:color="auto"/>
        <w:right w:val="none" w:sz="0" w:space="0" w:color="auto"/>
      </w:divBdr>
    </w:div>
    <w:div w:id="133524394">
      <w:bodyDiv w:val="1"/>
      <w:marLeft w:val="0"/>
      <w:marRight w:val="0"/>
      <w:marTop w:val="0"/>
      <w:marBottom w:val="0"/>
      <w:divBdr>
        <w:top w:val="none" w:sz="0" w:space="0" w:color="auto"/>
        <w:left w:val="none" w:sz="0" w:space="0" w:color="auto"/>
        <w:bottom w:val="none" w:sz="0" w:space="0" w:color="auto"/>
        <w:right w:val="none" w:sz="0" w:space="0" w:color="auto"/>
      </w:divBdr>
    </w:div>
    <w:div w:id="229580779">
      <w:bodyDiv w:val="1"/>
      <w:marLeft w:val="0"/>
      <w:marRight w:val="0"/>
      <w:marTop w:val="0"/>
      <w:marBottom w:val="0"/>
      <w:divBdr>
        <w:top w:val="none" w:sz="0" w:space="0" w:color="auto"/>
        <w:left w:val="none" w:sz="0" w:space="0" w:color="auto"/>
        <w:bottom w:val="none" w:sz="0" w:space="0" w:color="auto"/>
        <w:right w:val="none" w:sz="0" w:space="0" w:color="auto"/>
      </w:divBdr>
    </w:div>
    <w:div w:id="282732029">
      <w:bodyDiv w:val="1"/>
      <w:marLeft w:val="0"/>
      <w:marRight w:val="0"/>
      <w:marTop w:val="0"/>
      <w:marBottom w:val="0"/>
      <w:divBdr>
        <w:top w:val="none" w:sz="0" w:space="0" w:color="auto"/>
        <w:left w:val="none" w:sz="0" w:space="0" w:color="auto"/>
        <w:bottom w:val="none" w:sz="0" w:space="0" w:color="auto"/>
        <w:right w:val="none" w:sz="0" w:space="0" w:color="auto"/>
      </w:divBdr>
    </w:div>
    <w:div w:id="534393921">
      <w:bodyDiv w:val="1"/>
      <w:marLeft w:val="0"/>
      <w:marRight w:val="0"/>
      <w:marTop w:val="0"/>
      <w:marBottom w:val="0"/>
      <w:divBdr>
        <w:top w:val="none" w:sz="0" w:space="0" w:color="auto"/>
        <w:left w:val="none" w:sz="0" w:space="0" w:color="auto"/>
        <w:bottom w:val="none" w:sz="0" w:space="0" w:color="auto"/>
        <w:right w:val="none" w:sz="0" w:space="0" w:color="auto"/>
      </w:divBdr>
    </w:div>
    <w:div w:id="537855781">
      <w:bodyDiv w:val="1"/>
      <w:marLeft w:val="0"/>
      <w:marRight w:val="0"/>
      <w:marTop w:val="0"/>
      <w:marBottom w:val="0"/>
      <w:divBdr>
        <w:top w:val="none" w:sz="0" w:space="0" w:color="auto"/>
        <w:left w:val="none" w:sz="0" w:space="0" w:color="auto"/>
        <w:bottom w:val="none" w:sz="0" w:space="0" w:color="auto"/>
        <w:right w:val="none" w:sz="0" w:space="0" w:color="auto"/>
      </w:divBdr>
    </w:div>
    <w:div w:id="713778130">
      <w:bodyDiv w:val="1"/>
      <w:marLeft w:val="0"/>
      <w:marRight w:val="0"/>
      <w:marTop w:val="0"/>
      <w:marBottom w:val="0"/>
      <w:divBdr>
        <w:top w:val="none" w:sz="0" w:space="0" w:color="auto"/>
        <w:left w:val="none" w:sz="0" w:space="0" w:color="auto"/>
        <w:bottom w:val="none" w:sz="0" w:space="0" w:color="auto"/>
        <w:right w:val="none" w:sz="0" w:space="0" w:color="auto"/>
      </w:divBdr>
    </w:div>
    <w:div w:id="1249272626">
      <w:bodyDiv w:val="1"/>
      <w:marLeft w:val="0"/>
      <w:marRight w:val="0"/>
      <w:marTop w:val="0"/>
      <w:marBottom w:val="0"/>
      <w:divBdr>
        <w:top w:val="none" w:sz="0" w:space="0" w:color="auto"/>
        <w:left w:val="none" w:sz="0" w:space="0" w:color="auto"/>
        <w:bottom w:val="none" w:sz="0" w:space="0" w:color="auto"/>
        <w:right w:val="none" w:sz="0" w:space="0" w:color="auto"/>
      </w:divBdr>
    </w:div>
    <w:div w:id="1274937854">
      <w:bodyDiv w:val="1"/>
      <w:marLeft w:val="0"/>
      <w:marRight w:val="0"/>
      <w:marTop w:val="0"/>
      <w:marBottom w:val="0"/>
      <w:divBdr>
        <w:top w:val="none" w:sz="0" w:space="0" w:color="auto"/>
        <w:left w:val="none" w:sz="0" w:space="0" w:color="auto"/>
        <w:bottom w:val="none" w:sz="0" w:space="0" w:color="auto"/>
        <w:right w:val="none" w:sz="0" w:space="0" w:color="auto"/>
      </w:divBdr>
    </w:div>
    <w:div w:id="1305962674">
      <w:bodyDiv w:val="1"/>
      <w:marLeft w:val="0"/>
      <w:marRight w:val="0"/>
      <w:marTop w:val="0"/>
      <w:marBottom w:val="0"/>
      <w:divBdr>
        <w:top w:val="none" w:sz="0" w:space="0" w:color="auto"/>
        <w:left w:val="none" w:sz="0" w:space="0" w:color="auto"/>
        <w:bottom w:val="none" w:sz="0" w:space="0" w:color="auto"/>
        <w:right w:val="none" w:sz="0" w:space="0" w:color="auto"/>
      </w:divBdr>
    </w:div>
    <w:div w:id="1423912226">
      <w:bodyDiv w:val="1"/>
      <w:marLeft w:val="0"/>
      <w:marRight w:val="0"/>
      <w:marTop w:val="0"/>
      <w:marBottom w:val="0"/>
      <w:divBdr>
        <w:top w:val="none" w:sz="0" w:space="0" w:color="auto"/>
        <w:left w:val="none" w:sz="0" w:space="0" w:color="auto"/>
        <w:bottom w:val="none" w:sz="0" w:space="0" w:color="auto"/>
        <w:right w:val="none" w:sz="0" w:space="0" w:color="auto"/>
      </w:divBdr>
    </w:div>
    <w:div w:id="1481146273">
      <w:bodyDiv w:val="1"/>
      <w:marLeft w:val="0"/>
      <w:marRight w:val="0"/>
      <w:marTop w:val="0"/>
      <w:marBottom w:val="0"/>
      <w:divBdr>
        <w:top w:val="none" w:sz="0" w:space="0" w:color="auto"/>
        <w:left w:val="none" w:sz="0" w:space="0" w:color="auto"/>
        <w:bottom w:val="none" w:sz="0" w:space="0" w:color="auto"/>
        <w:right w:val="none" w:sz="0" w:space="0" w:color="auto"/>
      </w:divBdr>
    </w:div>
    <w:div w:id="1517036529">
      <w:bodyDiv w:val="1"/>
      <w:marLeft w:val="0"/>
      <w:marRight w:val="0"/>
      <w:marTop w:val="0"/>
      <w:marBottom w:val="0"/>
      <w:divBdr>
        <w:top w:val="none" w:sz="0" w:space="0" w:color="auto"/>
        <w:left w:val="none" w:sz="0" w:space="0" w:color="auto"/>
        <w:bottom w:val="none" w:sz="0" w:space="0" w:color="auto"/>
        <w:right w:val="none" w:sz="0" w:space="0" w:color="auto"/>
      </w:divBdr>
    </w:div>
    <w:div w:id="1522158945">
      <w:bodyDiv w:val="1"/>
      <w:marLeft w:val="0"/>
      <w:marRight w:val="0"/>
      <w:marTop w:val="0"/>
      <w:marBottom w:val="0"/>
      <w:divBdr>
        <w:top w:val="none" w:sz="0" w:space="0" w:color="auto"/>
        <w:left w:val="none" w:sz="0" w:space="0" w:color="auto"/>
        <w:bottom w:val="none" w:sz="0" w:space="0" w:color="auto"/>
        <w:right w:val="none" w:sz="0" w:space="0" w:color="auto"/>
      </w:divBdr>
      <w:divsChild>
        <w:div w:id="1065764835">
          <w:marLeft w:val="0"/>
          <w:marRight w:val="0"/>
          <w:marTop w:val="0"/>
          <w:marBottom w:val="0"/>
          <w:divBdr>
            <w:top w:val="none" w:sz="0" w:space="0" w:color="auto"/>
            <w:left w:val="none" w:sz="0" w:space="0" w:color="auto"/>
            <w:bottom w:val="none" w:sz="0" w:space="0" w:color="auto"/>
            <w:right w:val="none" w:sz="0" w:space="0" w:color="auto"/>
          </w:divBdr>
          <w:divsChild>
            <w:div w:id="1233195294">
              <w:marLeft w:val="0"/>
              <w:marRight w:val="0"/>
              <w:marTop w:val="0"/>
              <w:marBottom w:val="0"/>
              <w:divBdr>
                <w:top w:val="none" w:sz="0" w:space="0" w:color="auto"/>
                <w:left w:val="none" w:sz="0" w:space="0" w:color="auto"/>
                <w:bottom w:val="none" w:sz="0" w:space="0" w:color="auto"/>
                <w:right w:val="none" w:sz="0" w:space="0" w:color="auto"/>
              </w:divBdr>
              <w:divsChild>
                <w:div w:id="697510657">
                  <w:marLeft w:val="0"/>
                  <w:marRight w:val="0"/>
                  <w:marTop w:val="0"/>
                  <w:marBottom w:val="0"/>
                  <w:divBdr>
                    <w:top w:val="none" w:sz="0" w:space="0" w:color="auto"/>
                    <w:left w:val="none" w:sz="0" w:space="0" w:color="auto"/>
                    <w:bottom w:val="none" w:sz="0" w:space="0" w:color="auto"/>
                    <w:right w:val="none" w:sz="0" w:space="0" w:color="auto"/>
                  </w:divBdr>
                  <w:divsChild>
                    <w:div w:id="1112553730">
                      <w:marLeft w:val="0"/>
                      <w:marRight w:val="0"/>
                      <w:marTop w:val="0"/>
                      <w:marBottom w:val="0"/>
                      <w:divBdr>
                        <w:top w:val="none" w:sz="0" w:space="0" w:color="auto"/>
                        <w:left w:val="none" w:sz="0" w:space="0" w:color="auto"/>
                        <w:bottom w:val="none" w:sz="0" w:space="0" w:color="auto"/>
                        <w:right w:val="none" w:sz="0" w:space="0" w:color="auto"/>
                      </w:divBdr>
                      <w:divsChild>
                        <w:div w:id="307052074">
                          <w:marLeft w:val="0"/>
                          <w:marRight w:val="0"/>
                          <w:marTop w:val="0"/>
                          <w:marBottom w:val="0"/>
                          <w:divBdr>
                            <w:top w:val="none" w:sz="0" w:space="0" w:color="auto"/>
                            <w:left w:val="none" w:sz="0" w:space="0" w:color="auto"/>
                            <w:bottom w:val="none" w:sz="0" w:space="0" w:color="auto"/>
                            <w:right w:val="none" w:sz="0" w:space="0" w:color="auto"/>
                          </w:divBdr>
                        </w:div>
                        <w:div w:id="432555213">
                          <w:marLeft w:val="0"/>
                          <w:marRight w:val="0"/>
                          <w:marTop w:val="0"/>
                          <w:marBottom w:val="0"/>
                          <w:divBdr>
                            <w:top w:val="none" w:sz="0" w:space="0" w:color="auto"/>
                            <w:left w:val="none" w:sz="0" w:space="0" w:color="auto"/>
                            <w:bottom w:val="none" w:sz="0" w:space="0" w:color="auto"/>
                            <w:right w:val="none" w:sz="0" w:space="0" w:color="auto"/>
                          </w:divBdr>
                        </w:div>
                        <w:div w:id="1598639246">
                          <w:marLeft w:val="0"/>
                          <w:marRight w:val="0"/>
                          <w:marTop w:val="0"/>
                          <w:marBottom w:val="0"/>
                          <w:divBdr>
                            <w:top w:val="none" w:sz="0" w:space="0" w:color="auto"/>
                            <w:left w:val="none" w:sz="0" w:space="0" w:color="auto"/>
                            <w:bottom w:val="none" w:sz="0" w:space="0" w:color="auto"/>
                            <w:right w:val="none" w:sz="0" w:space="0" w:color="auto"/>
                          </w:divBdr>
                        </w:div>
                        <w:div w:id="19910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574442">
      <w:bodyDiv w:val="1"/>
      <w:marLeft w:val="0"/>
      <w:marRight w:val="0"/>
      <w:marTop w:val="0"/>
      <w:marBottom w:val="0"/>
      <w:divBdr>
        <w:top w:val="none" w:sz="0" w:space="0" w:color="auto"/>
        <w:left w:val="none" w:sz="0" w:space="0" w:color="auto"/>
        <w:bottom w:val="none" w:sz="0" w:space="0" w:color="auto"/>
        <w:right w:val="none" w:sz="0" w:space="0" w:color="auto"/>
      </w:divBdr>
    </w:div>
    <w:div w:id="1596863018">
      <w:bodyDiv w:val="1"/>
      <w:marLeft w:val="0"/>
      <w:marRight w:val="0"/>
      <w:marTop w:val="0"/>
      <w:marBottom w:val="0"/>
      <w:divBdr>
        <w:top w:val="none" w:sz="0" w:space="0" w:color="auto"/>
        <w:left w:val="none" w:sz="0" w:space="0" w:color="auto"/>
        <w:bottom w:val="none" w:sz="0" w:space="0" w:color="auto"/>
        <w:right w:val="none" w:sz="0" w:space="0" w:color="auto"/>
      </w:divBdr>
    </w:div>
    <w:div w:id="1644846232">
      <w:bodyDiv w:val="1"/>
      <w:marLeft w:val="0"/>
      <w:marRight w:val="0"/>
      <w:marTop w:val="0"/>
      <w:marBottom w:val="0"/>
      <w:divBdr>
        <w:top w:val="none" w:sz="0" w:space="0" w:color="auto"/>
        <w:left w:val="none" w:sz="0" w:space="0" w:color="auto"/>
        <w:bottom w:val="none" w:sz="0" w:space="0" w:color="auto"/>
        <w:right w:val="none" w:sz="0" w:space="0" w:color="auto"/>
      </w:divBdr>
    </w:div>
    <w:div w:id="1784112736">
      <w:bodyDiv w:val="1"/>
      <w:marLeft w:val="0"/>
      <w:marRight w:val="0"/>
      <w:marTop w:val="0"/>
      <w:marBottom w:val="0"/>
      <w:divBdr>
        <w:top w:val="none" w:sz="0" w:space="0" w:color="auto"/>
        <w:left w:val="none" w:sz="0" w:space="0" w:color="auto"/>
        <w:bottom w:val="none" w:sz="0" w:space="0" w:color="auto"/>
        <w:right w:val="none" w:sz="0" w:space="0" w:color="auto"/>
      </w:divBdr>
    </w:div>
    <w:div w:id="1802378966">
      <w:bodyDiv w:val="1"/>
      <w:marLeft w:val="0"/>
      <w:marRight w:val="0"/>
      <w:marTop w:val="0"/>
      <w:marBottom w:val="0"/>
      <w:divBdr>
        <w:top w:val="none" w:sz="0" w:space="0" w:color="auto"/>
        <w:left w:val="none" w:sz="0" w:space="0" w:color="auto"/>
        <w:bottom w:val="none" w:sz="0" w:space="0" w:color="auto"/>
        <w:right w:val="none" w:sz="0" w:space="0" w:color="auto"/>
      </w:divBdr>
    </w:div>
    <w:div w:id="1829322133">
      <w:bodyDiv w:val="1"/>
      <w:marLeft w:val="0"/>
      <w:marRight w:val="0"/>
      <w:marTop w:val="0"/>
      <w:marBottom w:val="0"/>
      <w:divBdr>
        <w:top w:val="none" w:sz="0" w:space="0" w:color="auto"/>
        <w:left w:val="none" w:sz="0" w:space="0" w:color="auto"/>
        <w:bottom w:val="none" w:sz="0" w:space="0" w:color="auto"/>
        <w:right w:val="none" w:sz="0" w:space="0" w:color="auto"/>
      </w:divBdr>
    </w:div>
    <w:div w:id="1858428230">
      <w:bodyDiv w:val="1"/>
      <w:marLeft w:val="0"/>
      <w:marRight w:val="0"/>
      <w:marTop w:val="0"/>
      <w:marBottom w:val="0"/>
      <w:divBdr>
        <w:top w:val="none" w:sz="0" w:space="0" w:color="auto"/>
        <w:left w:val="none" w:sz="0" w:space="0" w:color="auto"/>
        <w:bottom w:val="none" w:sz="0" w:space="0" w:color="auto"/>
        <w:right w:val="none" w:sz="0" w:space="0" w:color="auto"/>
      </w:divBdr>
    </w:div>
    <w:div w:id="1942561994">
      <w:bodyDiv w:val="1"/>
      <w:marLeft w:val="0"/>
      <w:marRight w:val="0"/>
      <w:marTop w:val="0"/>
      <w:marBottom w:val="0"/>
      <w:divBdr>
        <w:top w:val="none" w:sz="0" w:space="0" w:color="auto"/>
        <w:left w:val="none" w:sz="0" w:space="0" w:color="auto"/>
        <w:bottom w:val="none" w:sz="0" w:space="0" w:color="auto"/>
        <w:right w:val="none" w:sz="0" w:space="0" w:color="auto"/>
      </w:divBdr>
    </w:div>
    <w:div w:id="20339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comments" Target="comments.xml"/><Relationship Id="rId13" Type="http://schemas.openxmlformats.org/officeDocument/2006/relationships/image" Target="media/image1.wmf"/><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DDDBB8F7E90D45A63C3B6B6D0A0433" ma:contentTypeVersion="1" ma:contentTypeDescription="Create a new document." ma:contentTypeScope="" ma:versionID="2e379e98838e48c731015fb6b8c6eb6f">
  <xsd:schema xmlns:xsd="http://www.w3.org/2001/XMLSchema" xmlns:p="http://schemas.microsoft.com/office/2006/metadata/properties" xmlns:ns1="http://schemas.microsoft.com/sharepoint/v3" targetNamespace="http://schemas.microsoft.com/office/2006/metadata/properties" ma:root="true" ma:fieldsID="a857fa3f8aec59f5d31b0c86cc4056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4341-97A1-44A6-B6C6-A01C59EAB0C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4C18104-D4A5-4F1D-832A-50F0C0F3F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DB35C6-E5AE-4959-95EC-671F38D0D884}">
  <ds:schemaRefs>
    <ds:schemaRef ds:uri="http://schemas.microsoft.com/sharepoint/v3/contenttype/forms"/>
  </ds:schemaRefs>
</ds:datastoreItem>
</file>

<file path=customXml/itemProps4.xml><?xml version="1.0" encoding="utf-8"?>
<ds:datastoreItem xmlns:ds="http://schemas.openxmlformats.org/officeDocument/2006/customXml" ds:itemID="{588A68DA-F58F-7F4A-95D8-792F09AF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8792</Words>
  <Characters>50117</Characters>
  <Application>Microsoft Macintosh Word</Application>
  <DocSecurity>0</DocSecurity>
  <Lines>417</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1218935</vt:lpstr>
      <vt:lpstr>1218935</vt:lpstr>
    </vt:vector>
  </TitlesOfParts>
  <Company>CSD</Company>
  <LinksUpToDate>false</LinksUpToDate>
  <CharactersWithSpaces>58792</CharactersWithSpaces>
  <SharedDoc>false</SharedDoc>
  <HLinks>
    <vt:vector size="30" baseType="variant">
      <vt:variant>
        <vt:i4>2687015</vt:i4>
      </vt:variant>
      <vt:variant>
        <vt:i4>0</vt:i4>
      </vt:variant>
      <vt:variant>
        <vt:i4>0</vt:i4>
      </vt:variant>
      <vt:variant>
        <vt:i4>5</vt:i4>
      </vt:variant>
      <vt:variant>
        <vt:lpwstr>http://www.frontlinedefenders.org/PierreClaverMbonimpa</vt:lpwstr>
      </vt:variant>
      <vt:variant>
        <vt:lpwstr/>
      </vt:variant>
      <vt:variant>
        <vt:i4>8061047</vt:i4>
      </vt:variant>
      <vt:variant>
        <vt:i4>9</vt:i4>
      </vt:variant>
      <vt:variant>
        <vt:i4>0</vt:i4>
      </vt:variant>
      <vt:variant>
        <vt:i4>5</vt:i4>
      </vt:variant>
      <vt:variant>
        <vt:lpwstr>http://drogasyderecho.org/assets/proportionality-colombia-%28addicted-punishment%29.pdf</vt:lpwstr>
      </vt:variant>
      <vt:variant>
        <vt:lpwstr/>
      </vt:variant>
      <vt:variant>
        <vt:i4>7733264</vt:i4>
      </vt:variant>
      <vt:variant>
        <vt:i4>6</vt:i4>
      </vt:variant>
      <vt:variant>
        <vt:i4>0</vt:i4>
      </vt:variant>
      <vt:variant>
        <vt:i4>5</vt:i4>
      </vt:variant>
      <vt:variant>
        <vt:lpwstr>http://www.unicef.org/eapro/media_18366.html</vt:lpwstr>
      </vt:variant>
      <vt:variant>
        <vt:lpwstr/>
      </vt:variant>
      <vt:variant>
        <vt:i4>2687084</vt:i4>
      </vt:variant>
      <vt:variant>
        <vt:i4>3</vt:i4>
      </vt:variant>
      <vt:variant>
        <vt:i4>0</vt:i4>
      </vt:variant>
      <vt:variant>
        <vt:i4>5</vt:i4>
      </vt:variant>
      <vt:variant>
        <vt:lpwstr>http://www.ohchr.org/EN/NewsEvents/Pages/DisplayNews.aspx?NewsID=11941&amp;LangID=E</vt:lpwstr>
      </vt:variant>
      <vt:variant>
        <vt:lpwstr/>
      </vt:variant>
      <vt:variant>
        <vt:i4>5832780</vt:i4>
      </vt:variant>
      <vt:variant>
        <vt:i4>0</vt:i4>
      </vt:variant>
      <vt:variant>
        <vt:i4>0</vt:i4>
      </vt:variant>
      <vt:variant>
        <vt:i4>5</vt:i4>
      </vt:variant>
      <vt:variant>
        <vt:lpwstr>http://www.hr-dp.org/files/2015/02/02/WGAD.FINAL_.30_Jan_2015_.pdf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Arbitrary Detention in English</dc:title>
  <dc:subject>A/HRC/22/44</dc:subject>
  <dc:creator>Morris</dc:creator>
  <cp:lastModifiedBy>Julie</cp:lastModifiedBy>
  <cp:revision>2</cp:revision>
  <cp:lastPrinted>2015-07-10T14:16:00Z</cp:lastPrinted>
  <dcterms:created xsi:type="dcterms:W3CDTF">2015-09-11T16:30:00Z</dcterms:created>
  <dcterms:modified xsi:type="dcterms:W3CDTF">2015-09-11T16:30:00Z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0x01010019DDDBB8F7E90D45A63C3B6B6D0A0433</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